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E3FFA">
      <w:pPr>
        <w:spacing w:line="294" w:lineRule="auto"/>
        <w:rPr>
          <w:rFonts w:ascii="Arial"/>
          <w:sz w:val="21"/>
        </w:rPr>
      </w:pPr>
    </w:p>
    <w:p w14:paraId="268443CC">
      <w:pPr>
        <w:spacing w:line="294" w:lineRule="auto"/>
        <w:rPr>
          <w:rFonts w:ascii="Arial"/>
          <w:sz w:val="21"/>
        </w:rPr>
      </w:pPr>
    </w:p>
    <w:p w14:paraId="770FC6CA">
      <w:pPr>
        <w:spacing w:line="294" w:lineRule="auto"/>
        <w:rPr>
          <w:rFonts w:ascii="Arial"/>
          <w:sz w:val="21"/>
        </w:rPr>
      </w:pPr>
    </w:p>
    <w:p w14:paraId="3CA159B4">
      <w:pPr>
        <w:spacing w:line="295" w:lineRule="auto"/>
        <w:rPr>
          <w:rFonts w:ascii="Arial"/>
          <w:sz w:val="21"/>
        </w:rPr>
      </w:pPr>
    </w:p>
    <w:p w14:paraId="3BFB48BA">
      <w:pPr>
        <w:spacing w:before="184" w:line="208" w:lineRule="auto"/>
        <w:ind w:left="629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江苏省社会科学基金项目资金管理办法</w:t>
      </w:r>
    </w:p>
    <w:p w14:paraId="379CF093">
      <w:pPr>
        <w:spacing w:line="285" w:lineRule="auto"/>
        <w:rPr>
          <w:rFonts w:ascii="Arial"/>
          <w:sz w:val="21"/>
        </w:rPr>
      </w:pPr>
    </w:p>
    <w:p w14:paraId="7389E038">
      <w:pPr>
        <w:spacing w:line="286" w:lineRule="auto"/>
        <w:rPr>
          <w:rFonts w:ascii="Arial"/>
          <w:sz w:val="21"/>
        </w:rPr>
      </w:pPr>
    </w:p>
    <w:p w14:paraId="7F41ADF3">
      <w:pPr>
        <w:spacing w:before="100" w:line="211" w:lineRule="auto"/>
        <w:ind w:left="3260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第一章</w:t>
      </w:r>
      <w:r>
        <w:rPr>
          <w:rFonts w:ascii="黑体" w:hAnsi="黑体" w:eastAsia="黑体" w:cs="黑体"/>
          <w:spacing w:val="17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"/>
          <w:sz w:val="31"/>
          <w:szCs w:val="31"/>
        </w:rPr>
        <w:t>总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"/>
          <w:sz w:val="31"/>
          <w:szCs w:val="31"/>
        </w:rPr>
        <w:t>则</w:t>
      </w:r>
    </w:p>
    <w:p w14:paraId="3C83C1B8">
      <w:pPr>
        <w:spacing w:line="241" w:lineRule="auto"/>
        <w:rPr>
          <w:rFonts w:ascii="Arial"/>
          <w:sz w:val="21"/>
        </w:rPr>
      </w:pPr>
    </w:p>
    <w:p w14:paraId="084A13BD">
      <w:pPr>
        <w:spacing w:line="241" w:lineRule="auto"/>
        <w:rPr>
          <w:rFonts w:ascii="Arial"/>
          <w:sz w:val="21"/>
        </w:rPr>
      </w:pPr>
    </w:p>
    <w:p w14:paraId="15B7F800">
      <w:pPr>
        <w:spacing w:line="242" w:lineRule="auto"/>
        <w:rPr>
          <w:rFonts w:ascii="Arial"/>
          <w:sz w:val="21"/>
        </w:rPr>
      </w:pPr>
    </w:p>
    <w:p w14:paraId="061A220A">
      <w:pPr>
        <w:pStyle w:val="2"/>
        <w:spacing w:before="101" w:line="340" w:lineRule="auto"/>
        <w:ind w:left="6" w:firstLine="648"/>
      </w:pPr>
      <w:r>
        <w:rPr>
          <w:rFonts w:ascii="黑体" w:hAnsi="黑体" w:eastAsia="黑体" w:cs="黑体"/>
          <w:spacing w:val="8"/>
        </w:rPr>
        <w:t xml:space="preserve">第一条  </w:t>
      </w:r>
      <w:r>
        <w:rPr>
          <w:spacing w:val="8"/>
        </w:rPr>
        <w:t>为规范江苏省社会科学基金（</w:t>
      </w:r>
      <w:r>
        <w:rPr>
          <w:spacing w:val="-41"/>
        </w:rPr>
        <w:t xml:space="preserve"> </w:t>
      </w:r>
      <w:r>
        <w:rPr>
          <w:spacing w:val="8"/>
        </w:rPr>
        <w:t>以下简称“省社科</w:t>
      </w:r>
      <w:r>
        <w:t xml:space="preserve"> </w:t>
      </w:r>
      <w:r>
        <w:rPr>
          <w:spacing w:val="1"/>
        </w:rPr>
        <w:t>基金”）项目资金的使用和管理，提高资金使用效益，更好地推</w:t>
      </w:r>
      <w:r>
        <w:rPr>
          <w:spacing w:val="13"/>
        </w:rPr>
        <w:t xml:space="preserve"> 动哲学社会科学繁荣发展，根据《江苏省宣传文化发展专项资</w:t>
      </w:r>
      <w:r>
        <w:t xml:space="preserve"> </w:t>
      </w:r>
      <w:r>
        <w:rPr>
          <w:spacing w:val="-7"/>
        </w:rPr>
        <w:t>金管理办法》（苏财规〔</w:t>
      </w:r>
      <w:r>
        <w:rPr>
          <w:rFonts w:ascii="Times New Roman" w:hAnsi="Times New Roman" w:eastAsia="Times New Roman" w:cs="Times New Roman"/>
          <w:spacing w:val="-7"/>
        </w:rPr>
        <w:t>2023</w:t>
      </w:r>
      <w:r>
        <w:rPr>
          <w:spacing w:val="-7"/>
        </w:rPr>
        <w:t>〕</w:t>
      </w:r>
      <w:r>
        <w:rPr>
          <w:rFonts w:ascii="Times New Roman" w:hAnsi="Times New Roman" w:eastAsia="Times New Roman" w:cs="Times New Roman"/>
          <w:spacing w:val="-7"/>
        </w:rPr>
        <w:t>6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-7"/>
        </w:rPr>
        <w:t>号）、《江苏省省级财</w:t>
      </w:r>
      <w:r>
        <w:rPr>
          <w:spacing w:val="-8"/>
        </w:rPr>
        <w:t>政社科科</w:t>
      </w:r>
      <w:r>
        <w:t xml:space="preserve"> </w:t>
      </w:r>
      <w:r>
        <w:rPr>
          <w:spacing w:val="-2"/>
        </w:rPr>
        <w:t>研项目经费管理办法》（苏财规〔</w:t>
      </w:r>
      <w:r>
        <w:rPr>
          <w:rFonts w:ascii="Times New Roman" w:hAnsi="Times New Roman" w:eastAsia="Times New Roman" w:cs="Times New Roman"/>
          <w:spacing w:val="-2"/>
        </w:rPr>
        <w:t>2023</w:t>
      </w:r>
      <w:r>
        <w:rPr>
          <w:spacing w:val="-2"/>
        </w:rPr>
        <w:t>〕</w:t>
      </w:r>
      <w:r>
        <w:rPr>
          <w:rFonts w:ascii="Times New Roman" w:hAnsi="Times New Roman" w:eastAsia="Times New Roman" w:cs="Times New Roman"/>
          <w:spacing w:val="-2"/>
        </w:rPr>
        <w:t>15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2"/>
        </w:rPr>
        <w:t>号）精神，结合省社</w:t>
      </w:r>
      <w:r>
        <w:t xml:space="preserve"> </w:t>
      </w:r>
      <w:r>
        <w:rPr>
          <w:spacing w:val="8"/>
        </w:rPr>
        <w:t>科基金管理实际，制定本办法。</w:t>
      </w:r>
    </w:p>
    <w:p w14:paraId="08184821">
      <w:pPr>
        <w:pStyle w:val="2"/>
        <w:spacing w:before="177" w:line="322" w:lineRule="auto"/>
        <w:ind w:left="9" w:firstLine="644"/>
      </w:pPr>
      <w:r>
        <w:rPr>
          <w:rFonts w:ascii="黑体" w:hAnsi="黑体" w:eastAsia="黑体" w:cs="黑体"/>
          <w:spacing w:val="12"/>
        </w:rPr>
        <w:t xml:space="preserve">第二条  </w:t>
      </w:r>
      <w:r>
        <w:rPr>
          <w:spacing w:val="12"/>
        </w:rPr>
        <w:t>省社科基金项目资金是以省社科基金项目方式管</w:t>
      </w:r>
      <w:r>
        <w:rPr>
          <w:spacing w:val="10"/>
        </w:rPr>
        <w:t xml:space="preserve"> </w:t>
      </w:r>
      <w:r>
        <w:rPr>
          <w:spacing w:val="13"/>
        </w:rPr>
        <w:t>理的科研经费，从江苏省宣传文化发展专项资金中列</w:t>
      </w:r>
      <w:r>
        <w:rPr>
          <w:spacing w:val="12"/>
        </w:rPr>
        <w:t>支，用于</w:t>
      </w:r>
      <w:r>
        <w:t xml:space="preserve"> </w:t>
      </w:r>
      <w:r>
        <w:rPr>
          <w:spacing w:val="9"/>
        </w:rPr>
        <w:t>资助哲学社会科学研究、促进哲学社会科学学科发展等。</w:t>
      </w:r>
    </w:p>
    <w:p w14:paraId="554DCC4C">
      <w:pPr>
        <w:pStyle w:val="2"/>
        <w:spacing w:before="176" w:line="323" w:lineRule="auto"/>
        <w:ind w:left="8" w:firstLine="645"/>
      </w:pPr>
      <w:r>
        <w:rPr>
          <w:rFonts w:ascii="黑体" w:hAnsi="黑体" w:eastAsia="黑体" w:cs="黑体"/>
          <w:spacing w:val="12"/>
        </w:rPr>
        <w:t xml:space="preserve">第三条  </w:t>
      </w:r>
      <w:r>
        <w:rPr>
          <w:spacing w:val="12"/>
        </w:rPr>
        <w:t>省社科基金项目资金管理，以多出优秀成果、培</w:t>
      </w:r>
      <w:r>
        <w:rPr>
          <w:spacing w:val="10"/>
        </w:rPr>
        <w:t xml:space="preserve"> </w:t>
      </w:r>
      <w:r>
        <w:rPr>
          <w:spacing w:val="13"/>
        </w:rPr>
        <w:t>养优秀人才为目标，坚持以人为本、遵循规律、强化绩</w:t>
      </w:r>
      <w:r>
        <w:rPr>
          <w:spacing w:val="12"/>
        </w:rPr>
        <w:t>效、依</w:t>
      </w:r>
      <w:r>
        <w:t xml:space="preserve"> </w:t>
      </w:r>
      <w:r>
        <w:rPr>
          <w:spacing w:val="8"/>
        </w:rPr>
        <w:t>法规范、公正合理和安全高效的原则。</w:t>
      </w:r>
    </w:p>
    <w:p w14:paraId="0B99EEB5">
      <w:pPr>
        <w:spacing w:line="340" w:lineRule="auto"/>
        <w:rPr>
          <w:rFonts w:ascii="Arial"/>
          <w:sz w:val="21"/>
        </w:rPr>
      </w:pPr>
    </w:p>
    <w:p w14:paraId="72500729">
      <w:pPr>
        <w:spacing w:line="341" w:lineRule="auto"/>
        <w:rPr>
          <w:rFonts w:ascii="Arial"/>
          <w:sz w:val="21"/>
        </w:rPr>
      </w:pPr>
    </w:p>
    <w:p w14:paraId="729BF097">
      <w:pPr>
        <w:spacing w:before="101" w:line="212" w:lineRule="auto"/>
        <w:ind w:left="3100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第二章  管理职责</w:t>
      </w:r>
    </w:p>
    <w:p w14:paraId="6B3AD4B2">
      <w:pPr>
        <w:spacing w:line="242" w:lineRule="auto"/>
        <w:rPr>
          <w:rFonts w:ascii="Arial"/>
          <w:sz w:val="21"/>
        </w:rPr>
      </w:pPr>
    </w:p>
    <w:p w14:paraId="7FA182E8">
      <w:pPr>
        <w:spacing w:line="242" w:lineRule="auto"/>
        <w:rPr>
          <w:rFonts w:ascii="Arial"/>
          <w:sz w:val="21"/>
        </w:rPr>
      </w:pPr>
    </w:p>
    <w:p w14:paraId="6CFC82E8">
      <w:pPr>
        <w:spacing w:line="242" w:lineRule="auto"/>
        <w:rPr>
          <w:rFonts w:ascii="Arial"/>
          <w:sz w:val="21"/>
        </w:rPr>
      </w:pPr>
    </w:p>
    <w:p w14:paraId="71D393A3">
      <w:pPr>
        <w:pStyle w:val="2"/>
        <w:spacing w:before="101" w:line="422" w:lineRule="exact"/>
        <w:jc w:val="right"/>
      </w:pPr>
      <w:r>
        <w:rPr>
          <w:rFonts w:ascii="黑体" w:hAnsi="黑体" w:eastAsia="黑体" w:cs="黑体"/>
          <w:spacing w:val="12"/>
          <w:position w:val="2"/>
        </w:rPr>
        <w:t xml:space="preserve">第四条  </w:t>
      </w:r>
      <w:r>
        <w:rPr>
          <w:spacing w:val="12"/>
          <w:position w:val="2"/>
        </w:rPr>
        <w:t>省财政厅根据我省哲学社会科学发展规划，编制</w:t>
      </w:r>
    </w:p>
    <w:p w14:paraId="64CF7492">
      <w:pPr>
        <w:spacing w:line="422" w:lineRule="exact"/>
        <w:sectPr>
          <w:pgSz w:w="11906" w:h="16839"/>
          <w:pgMar w:top="1431" w:right="1588" w:bottom="1711" w:left="1588" w:header="0" w:footer="1343" w:gutter="0"/>
          <w:cols w:space="720" w:num="1"/>
        </w:sectPr>
      </w:pPr>
    </w:p>
    <w:p w14:paraId="67E852C4">
      <w:pPr>
        <w:spacing w:line="254" w:lineRule="auto"/>
        <w:rPr>
          <w:rFonts w:ascii="Arial"/>
          <w:sz w:val="21"/>
        </w:rPr>
      </w:pPr>
    </w:p>
    <w:p w14:paraId="0154FA72">
      <w:pPr>
        <w:spacing w:line="254" w:lineRule="auto"/>
        <w:rPr>
          <w:rFonts w:ascii="Arial"/>
          <w:sz w:val="21"/>
        </w:rPr>
      </w:pPr>
    </w:p>
    <w:p w14:paraId="0926C31D">
      <w:pPr>
        <w:spacing w:line="255" w:lineRule="auto"/>
        <w:rPr>
          <w:rFonts w:ascii="Arial"/>
          <w:sz w:val="21"/>
        </w:rPr>
      </w:pPr>
    </w:p>
    <w:p w14:paraId="11724774">
      <w:pPr>
        <w:pStyle w:val="2"/>
        <w:spacing w:before="100" w:line="356" w:lineRule="auto"/>
        <w:ind w:left="7" w:right="100" w:firstLine="3"/>
        <w:jc w:val="both"/>
      </w:pPr>
      <w:r>
        <w:rPr>
          <w:spacing w:val="12"/>
        </w:rPr>
        <w:t>省社科基金年度预算，会同省委宣传部制定省社科基金项目资</w:t>
      </w:r>
      <w:r>
        <w:rPr>
          <w:spacing w:val="17"/>
        </w:rPr>
        <w:t xml:space="preserve"> </w:t>
      </w:r>
      <w:r>
        <w:rPr>
          <w:spacing w:val="13"/>
        </w:rPr>
        <w:t>金相关管理规定，审核省委宣传部提出的资金</w:t>
      </w:r>
      <w:r>
        <w:rPr>
          <w:spacing w:val="12"/>
        </w:rPr>
        <w:t>分配意见并下达</w:t>
      </w:r>
      <w:r>
        <w:t xml:space="preserve"> </w:t>
      </w:r>
      <w:r>
        <w:rPr>
          <w:spacing w:val="9"/>
        </w:rPr>
        <w:t>资金，会同省委宣传部进行资金监管和预算</w:t>
      </w:r>
      <w:r>
        <w:rPr>
          <w:spacing w:val="8"/>
        </w:rPr>
        <w:t>绩效管理。</w:t>
      </w:r>
    </w:p>
    <w:p w14:paraId="06F4DAF4">
      <w:pPr>
        <w:pStyle w:val="2"/>
        <w:spacing w:before="5" w:line="331" w:lineRule="auto"/>
        <w:ind w:left="10" w:right="100" w:firstLine="639"/>
      </w:pPr>
      <w:r>
        <w:rPr>
          <w:rFonts w:ascii="黑体" w:hAnsi="黑体" w:eastAsia="黑体" w:cs="黑体"/>
          <w:spacing w:val="12"/>
        </w:rPr>
        <w:t xml:space="preserve">第五条  </w:t>
      </w:r>
      <w:r>
        <w:rPr>
          <w:spacing w:val="12"/>
        </w:rPr>
        <w:t>省委宣传部负责项目的立项审批，提出资金分配</w:t>
      </w:r>
      <w:r>
        <w:rPr>
          <w:spacing w:val="10"/>
        </w:rPr>
        <w:t xml:space="preserve"> </w:t>
      </w:r>
      <w:r>
        <w:rPr>
          <w:spacing w:val="12"/>
        </w:rPr>
        <w:t>意见，对项目组织实施具体管理和监督检查。省哲学社会科学</w:t>
      </w:r>
      <w:r>
        <w:rPr>
          <w:spacing w:val="18"/>
        </w:rPr>
        <w:t xml:space="preserve"> </w:t>
      </w:r>
      <w:r>
        <w:rPr>
          <w:spacing w:val="12"/>
        </w:rPr>
        <w:t>规划办公室具体负责省社科基金项目的组织申报、专家评审、</w:t>
      </w:r>
      <w:r>
        <w:rPr>
          <w:spacing w:val="18"/>
        </w:rPr>
        <w:t xml:space="preserve"> </w:t>
      </w:r>
      <w:r>
        <w:rPr>
          <w:spacing w:val="6"/>
        </w:rPr>
        <w:t>成果鉴定等工作。</w:t>
      </w:r>
    </w:p>
    <w:p w14:paraId="0F41F198">
      <w:pPr>
        <w:pStyle w:val="2"/>
        <w:spacing w:before="175" w:line="340" w:lineRule="auto"/>
        <w:ind w:firstLine="649"/>
      </w:pPr>
      <w:r>
        <w:rPr>
          <w:rFonts w:ascii="黑体" w:hAnsi="黑体" w:eastAsia="黑体" w:cs="黑体"/>
          <w:spacing w:val="12"/>
        </w:rPr>
        <w:t xml:space="preserve">第六条  </w:t>
      </w:r>
      <w:r>
        <w:rPr>
          <w:spacing w:val="12"/>
        </w:rPr>
        <w:t>项目责任单位是项目资金管理的责任主体，应当</w:t>
      </w:r>
      <w:r>
        <w:rPr>
          <w:spacing w:val="10"/>
        </w:rPr>
        <w:t xml:space="preserve"> </w:t>
      </w:r>
      <w:r>
        <w:rPr>
          <w:spacing w:val="5"/>
        </w:rPr>
        <w:t>建立健全相关制度，完善内部控制、绩效管理和监督约束机制，</w:t>
      </w:r>
      <w:r>
        <w:rPr>
          <w:spacing w:val="2"/>
        </w:rPr>
        <w:t xml:space="preserve"> </w:t>
      </w:r>
      <w:r>
        <w:rPr>
          <w:spacing w:val="13"/>
        </w:rPr>
        <w:t>合理确定科研、财务、人事、资产、审计、监察等部门的责任</w:t>
      </w:r>
      <w:r>
        <w:rPr>
          <w:spacing w:val="1"/>
        </w:rPr>
        <w:t xml:space="preserve"> </w:t>
      </w:r>
      <w:r>
        <w:rPr>
          <w:spacing w:val="13"/>
        </w:rPr>
        <w:t>和权限，加强对项目经费的管理和监督。责任单位应当落实项</w:t>
      </w:r>
      <w:r>
        <w:rPr>
          <w:spacing w:val="1"/>
        </w:rPr>
        <w:t xml:space="preserve"> </w:t>
      </w:r>
      <w:r>
        <w:rPr>
          <w:spacing w:val="13"/>
        </w:rPr>
        <w:t>目承诺的自筹资金及其他配套条件，对项目组织实施提供条件</w:t>
      </w:r>
      <w:r>
        <w:rPr>
          <w:spacing w:val="1"/>
        </w:rPr>
        <w:t xml:space="preserve"> </w:t>
      </w:r>
      <w:r>
        <w:rPr>
          <w:spacing w:val="3"/>
        </w:rPr>
        <w:t>保障。</w:t>
      </w:r>
    </w:p>
    <w:p w14:paraId="0518C392">
      <w:pPr>
        <w:pStyle w:val="2"/>
        <w:spacing w:before="178" w:line="304" w:lineRule="auto"/>
        <w:ind w:left="7" w:right="100" w:firstLine="642"/>
      </w:pPr>
      <w:r>
        <w:rPr>
          <w:rFonts w:ascii="黑体" w:hAnsi="黑体" w:eastAsia="黑体" w:cs="黑体"/>
          <w:spacing w:val="12"/>
        </w:rPr>
        <w:t xml:space="preserve">第七条  </w:t>
      </w:r>
      <w:r>
        <w:rPr>
          <w:spacing w:val="12"/>
        </w:rPr>
        <w:t>项目负责人是项目资金使用的直接责任人，对资</w:t>
      </w:r>
      <w:r>
        <w:rPr>
          <w:spacing w:val="10"/>
        </w:rPr>
        <w:t xml:space="preserve"> </w:t>
      </w:r>
      <w:r>
        <w:rPr>
          <w:spacing w:val="9"/>
        </w:rPr>
        <w:t>金使用的合规性、合理性、真实性和相关性承担法律责</w:t>
      </w:r>
      <w:r>
        <w:rPr>
          <w:spacing w:val="8"/>
        </w:rPr>
        <w:t>任。</w:t>
      </w:r>
    </w:p>
    <w:p w14:paraId="06247006">
      <w:pPr>
        <w:spacing w:line="343" w:lineRule="auto"/>
        <w:rPr>
          <w:rFonts w:ascii="Arial"/>
          <w:sz w:val="21"/>
        </w:rPr>
      </w:pPr>
    </w:p>
    <w:p w14:paraId="57A6D806">
      <w:pPr>
        <w:spacing w:line="344" w:lineRule="auto"/>
        <w:rPr>
          <w:rFonts w:ascii="Arial"/>
          <w:sz w:val="21"/>
        </w:rPr>
      </w:pPr>
    </w:p>
    <w:p w14:paraId="43A4AAAC">
      <w:pPr>
        <w:spacing w:before="101" w:line="211" w:lineRule="auto"/>
        <w:ind w:left="245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第三章  项目资金支出范围</w:t>
      </w:r>
    </w:p>
    <w:p w14:paraId="38488B1C">
      <w:pPr>
        <w:spacing w:line="241" w:lineRule="auto"/>
        <w:rPr>
          <w:rFonts w:ascii="Arial"/>
          <w:sz w:val="21"/>
        </w:rPr>
      </w:pPr>
    </w:p>
    <w:p w14:paraId="0AFE490B">
      <w:pPr>
        <w:spacing w:line="241" w:lineRule="auto"/>
        <w:rPr>
          <w:rFonts w:ascii="Arial"/>
          <w:sz w:val="21"/>
        </w:rPr>
      </w:pPr>
    </w:p>
    <w:p w14:paraId="649CD0C5">
      <w:pPr>
        <w:spacing w:line="242" w:lineRule="auto"/>
        <w:rPr>
          <w:rFonts w:ascii="Arial"/>
          <w:sz w:val="21"/>
        </w:rPr>
      </w:pPr>
    </w:p>
    <w:p w14:paraId="2069FD4F">
      <w:pPr>
        <w:pStyle w:val="2"/>
        <w:spacing w:before="101" w:line="344" w:lineRule="auto"/>
        <w:ind w:left="12" w:right="100" w:firstLine="636"/>
        <w:jc w:val="both"/>
      </w:pPr>
      <w:r>
        <w:rPr>
          <w:rFonts w:ascii="黑体" w:hAnsi="黑体" w:eastAsia="黑体" w:cs="黑体"/>
          <w:spacing w:val="12"/>
        </w:rPr>
        <w:t xml:space="preserve">第八条  </w:t>
      </w:r>
      <w:r>
        <w:rPr>
          <w:spacing w:val="12"/>
        </w:rPr>
        <w:t>项目资金支出是指与项目研究工作相关的、由项</w:t>
      </w:r>
      <w:r>
        <w:rPr>
          <w:spacing w:val="10"/>
        </w:rPr>
        <w:t xml:space="preserve"> </w:t>
      </w:r>
      <w:r>
        <w:rPr>
          <w:spacing w:val="12"/>
        </w:rPr>
        <w:t>目资金支付的各项费用支出。项目资金由直接费用和间接费用</w:t>
      </w:r>
      <w:r>
        <w:rPr>
          <w:spacing w:val="15"/>
        </w:rPr>
        <w:t xml:space="preserve"> </w:t>
      </w:r>
      <w:r>
        <w:rPr>
          <w:spacing w:val="-1"/>
        </w:rPr>
        <w:t>组成。</w:t>
      </w:r>
    </w:p>
    <w:p w14:paraId="67ED5A63">
      <w:pPr>
        <w:spacing w:line="344" w:lineRule="auto"/>
        <w:sectPr>
          <w:footerReference r:id="rId5" w:type="default"/>
          <w:pgSz w:w="11906" w:h="16839"/>
          <w:pgMar w:top="1431" w:right="1488" w:bottom="1711" w:left="1593" w:header="0" w:footer="1343" w:gutter="0"/>
          <w:cols w:space="720" w:num="1"/>
        </w:sectPr>
      </w:pPr>
    </w:p>
    <w:p w14:paraId="1C50D768">
      <w:pPr>
        <w:spacing w:line="255" w:lineRule="auto"/>
        <w:rPr>
          <w:rFonts w:ascii="Arial"/>
          <w:sz w:val="21"/>
        </w:rPr>
      </w:pPr>
    </w:p>
    <w:p w14:paraId="3C622209">
      <w:pPr>
        <w:spacing w:line="255" w:lineRule="auto"/>
        <w:rPr>
          <w:rFonts w:ascii="Arial"/>
          <w:sz w:val="21"/>
        </w:rPr>
      </w:pPr>
    </w:p>
    <w:p w14:paraId="784E1EB4">
      <w:pPr>
        <w:spacing w:line="255" w:lineRule="auto"/>
        <w:rPr>
          <w:rFonts w:ascii="Arial"/>
          <w:sz w:val="21"/>
        </w:rPr>
      </w:pPr>
    </w:p>
    <w:p w14:paraId="0E76CA0F">
      <w:pPr>
        <w:pStyle w:val="2"/>
        <w:spacing w:before="101" w:line="355" w:lineRule="auto"/>
        <w:ind w:left="13" w:right="125" w:firstLine="640"/>
      </w:pPr>
      <w:r>
        <w:rPr>
          <w:rFonts w:ascii="黑体" w:hAnsi="黑体" w:eastAsia="黑体" w:cs="黑体"/>
          <w:spacing w:val="12"/>
        </w:rPr>
        <w:t xml:space="preserve">第九条  </w:t>
      </w:r>
      <w:r>
        <w:rPr>
          <w:spacing w:val="12"/>
        </w:rPr>
        <w:t>直接费用是指在项目实施过程中发生的与之直接</w:t>
      </w:r>
      <w:r>
        <w:rPr>
          <w:spacing w:val="10"/>
        </w:rPr>
        <w:t xml:space="preserve"> </w:t>
      </w:r>
      <w:r>
        <w:rPr>
          <w:spacing w:val="7"/>
        </w:rPr>
        <w:t>相关的费用，主要包括：</w:t>
      </w:r>
    </w:p>
    <w:p w14:paraId="509B0CF7">
      <w:pPr>
        <w:pStyle w:val="2"/>
        <w:spacing w:before="7" w:line="323" w:lineRule="auto"/>
        <w:ind w:left="16" w:right="2" w:firstLine="612"/>
      </w:pPr>
      <w:r>
        <w:rPr>
          <w:spacing w:val="3"/>
        </w:rPr>
        <w:t>（</w:t>
      </w:r>
      <w:r>
        <w:rPr>
          <w:spacing w:val="-72"/>
        </w:rPr>
        <w:t xml:space="preserve"> </w:t>
      </w:r>
      <w:r>
        <w:rPr>
          <w:spacing w:val="3"/>
        </w:rPr>
        <w:t>一）业务费：指在项目实施过程中购置图书、收集资料、</w:t>
      </w:r>
      <w:r>
        <w:t xml:space="preserve"> </w:t>
      </w:r>
      <w:r>
        <w:rPr>
          <w:spacing w:val="9"/>
        </w:rPr>
        <w:t>复印翻拍、检索文献、采集数据、翻译资料、印刷出版、会议</w:t>
      </w:r>
      <w:r>
        <w:rPr>
          <w:rFonts w:ascii="Times New Roman" w:hAnsi="Times New Roman" w:eastAsia="Times New Roman" w:cs="Times New Roman"/>
          <w:spacing w:val="9"/>
        </w:rPr>
        <w:t>/</w:t>
      </w:r>
      <w:r>
        <w:rPr>
          <w:rFonts w:ascii="Times New Roman" w:hAnsi="Times New Roman" w:eastAsia="Times New Roman" w:cs="Times New Roman"/>
          <w:spacing w:val="1"/>
        </w:rPr>
        <w:t xml:space="preserve">  </w:t>
      </w:r>
      <w:r>
        <w:rPr>
          <w:spacing w:val="7"/>
        </w:rPr>
        <w:t>差旅</w:t>
      </w:r>
      <w:r>
        <w:rPr>
          <w:rFonts w:ascii="Times New Roman" w:hAnsi="Times New Roman" w:eastAsia="Times New Roman" w:cs="Times New Roman"/>
          <w:spacing w:val="7"/>
        </w:rPr>
        <w:t>/</w:t>
      </w:r>
      <w:r>
        <w:rPr>
          <w:spacing w:val="7"/>
        </w:rPr>
        <w:t>国际合作与交流等费用。</w:t>
      </w:r>
    </w:p>
    <w:p w14:paraId="455B4FA1">
      <w:pPr>
        <w:pStyle w:val="2"/>
        <w:spacing w:before="174" w:line="324" w:lineRule="auto"/>
        <w:ind w:left="9" w:right="125" w:firstLine="619"/>
      </w:pPr>
      <w:r>
        <w:rPr>
          <w:spacing w:val="7"/>
        </w:rPr>
        <w:t>（</w:t>
      </w:r>
      <w:r>
        <w:rPr>
          <w:spacing w:val="-74"/>
        </w:rPr>
        <w:t xml:space="preserve"> </w:t>
      </w:r>
      <w:r>
        <w:rPr>
          <w:spacing w:val="7"/>
        </w:rPr>
        <w:t>二</w:t>
      </w:r>
      <w:r>
        <w:rPr>
          <w:spacing w:val="-63"/>
        </w:rPr>
        <w:t xml:space="preserve"> </w:t>
      </w:r>
      <w:r>
        <w:rPr>
          <w:spacing w:val="7"/>
        </w:rPr>
        <w:t>）劳务费：指在项目实施过程中支付给参与项目研究</w:t>
      </w:r>
      <w:r>
        <w:t xml:space="preserve"> </w:t>
      </w:r>
      <w:r>
        <w:rPr>
          <w:spacing w:val="13"/>
        </w:rPr>
        <w:t>的研究生、博士后、访问学者和项目聘用的研究人员</w:t>
      </w:r>
      <w:r>
        <w:rPr>
          <w:spacing w:val="12"/>
        </w:rPr>
        <w:t>、科研辅</w:t>
      </w:r>
      <w:r>
        <w:t xml:space="preserve"> </w:t>
      </w:r>
      <w:r>
        <w:rPr>
          <w:spacing w:val="13"/>
        </w:rPr>
        <w:t>助人员等劳务性费用，以及支付给临时聘请的咨询专</w:t>
      </w:r>
      <w:r>
        <w:rPr>
          <w:spacing w:val="12"/>
        </w:rPr>
        <w:t>家的费用</w:t>
      </w:r>
      <w:r>
        <w:t xml:space="preserve"> </w:t>
      </w:r>
      <w:r>
        <w:rPr>
          <w:spacing w:val="-2"/>
        </w:rPr>
        <w:t>等。</w:t>
      </w:r>
    </w:p>
    <w:p w14:paraId="36AB5D1A">
      <w:pPr>
        <w:pStyle w:val="2"/>
        <w:spacing w:before="224" w:line="347" w:lineRule="auto"/>
        <w:ind w:left="12" w:right="24" w:firstLine="639"/>
        <w:jc w:val="both"/>
      </w:pPr>
      <w:r>
        <w:rPr>
          <w:spacing w:val="13"/>
        </w:rPr>
        <w:t>项目聘用人员的劳务费开支标准，参照当地社科研究从业</w:t>
      </w:r>
      <w:r>
        <w:t xml:space="preserve"> </w:t>
      </w:r>
      <w:r>
        <w:rPr>
          <w:spacing w:val="5"/>
        </w:rPr>
        <w:t>人员平均工资水平，根据其在项目研究中承担的工作</w:t>
      </w:r>
      <w:r>
        <w:rPr>
          <w:spacing w:val="4"/>
        </w:rPr>
        <w:t>任务确定，</w:t>
      </w:r>
      <w:r>
        <w:t xml:space="preserve"> </w:t>
      </w:r>
      <w:r>
        <w:rPr>
          <w:spacing w:val="13"/>
        </w:rPr>
        <w:t>其由单位缴纳的社会保险补助、住房公积金等</w:t>
      </w:r>
      <w:r>
        <w:rPr>
          <w:spacing w:val="12"/>
        </w:rPr>
        <w:t>纳入劳务费科目</w:t>
      </w:r>
      <w:r>
        <w:t xml:space="preserve"> </w:t>
      </w:r>
      <w:r>
        <w:rPr>
          <w:spacing w:val="1"/>
        </w:rPr>
        <w:t>列支。</w:t>
      </w:r>
    </w:p>
    <w:p w14:paraId="3822F276">
      <w:pPr>
        <w:pStyle w:val="2"/>
        <w:spacing w:before="65" w:line="344" w:lineRule="auto"/>
        <w:ind w:left="15" w:right="125" w:firstLine="642"/>
        <w:jc w:val="both"/>
      </w:pPr>
      <w:r>
        <w:rPr>
          <w:spacing w:val="13"/>
        </w:rPr>
        <w:t>支付给临时聘请的咨询专家的费用，不得支付</w:t>
      </w:r>
      <w:r>
        <w:rPr>
          <w:spacing w:val="12"/>
        </w:rPr>
        <w:t>给参与本项</w:t>
      </w:r>
      <w:r>
        <w:t xml:space="preserve"> </w:t>
      </w:r>
      <w:r>
        <w:rPr>
          <w:spacing w:val="12"/>
        </w:rPr>
        <w:t>目及所属课题研究和管理的相关人员，其管理按照国家、省有</w:t>
      </w:r>
      <w:r>
        <w:rPr>
          <w:spacing w:val="18"/>
        </w:rPr>
        <w:t xml:space="preserve"> </w:t>
      </w:r>
      <w:r>
        <w:rPr>
          <w:spacing w:val="5"/>
        </w:rPr>
        <w:t>关规定执行。</w:t>
      </w:r>
    </w:p>
    <w:p w14:paraId="03C708D6">
      <w:pPr>
        <w:pStyle w:val="2"/>
        <w:spacing w:before="69" w:line="347" w:lineRule="auto"/>
        <w:ind w:left="6" w:firstLine="622"/>
        <w:jc w:val="both"/>
      </w:pPr>
      <w:r>
        <w:rPr>
          <w:spacing w:val="3"/>
        </w:rPr>
        <w:t>（</w:t>
      </w:r>
      <w:r>
        <w:rPr>
          <w:spacing w:val="-70"/>
        </w:rPr>
        <w:t xml:space="preserve"> </w:t>
      </w:r>
      <w:r>
        <w:rPr>
          <w:spacing w:val="3"/>
        </w:rPr>
        <w:t>三）设备费：指在项目实施过程中购置设备和设备耗材、</w:t>
      </w:r>
      <w:r>
        <w:t xml:space="preserve"> </w:t>
      </w:r>
      <w:r>
        <w:rPr>
          <w:spacing w:val="13"/>
        </w:rPr>
        <w:t>升级维护现有设备以及租用外单位设备而发生的费用。应当严</w:t>
      </w:r>
      <w:r>
        <w:t xml:space="preserve"> </w:t>
      </w:r>
      <w:r>
        <w:rPr>
          <w:spacing w:val="13"/>
        </w:rPr>
        <w:t>格控制设备购置，鼓励共享、租赁设备以及对现有设备进行升</w:t>
      </w:r>
      <w:r>
        <w:t xml:space="preserve"> 级。</w:t>
      </w:r>
    </w:p>
    <w:p w14:paraId="7E0E6F8C">
      <w:pPr>
        <w:pStyle w:val="2"/>
        <w:spacing w:before="68" w:line="420" w:lineRule="exact"/>
        <w:ind w:left="654"/>
      </w:pPr>
      <w:r>
        <w:rPr>
          <w:rFonts w:ascii="黑体" w:hAnsi="黑体" w:eastAsia="黑体" w:cs="黑体"/>
          <w:spacing w:val="12"/>
          <w:position w:val="2"/>
        </w:rPr>
        <w:t xml:space="preserve">第十条  </w:t>
      </w:r>
      <w:r>
        <w:rPr>
          <w:spacing w:val="12"/>
          <w:position w:val="2"/>
        </w:rPr>
        <w:t>间接费用是指项目责任单位在组织实施项目过程</w:t>
      </w:r>
    </w:p>
    <w:p w14:paraId="0E7FCCC6">
      <w:pPr>
        <w:spacing w:line="420" w:lineRule="exact"/>
        <w:sectPr>
          <w:footerReference r:id="rId6" w:type="default"/>
          <w:pgSz w:w="11906" w:h="16839"/>
          <w:pgMar w:top="1431" w:right="1463" w:bottom="1711" w:left="1588" w:header="0" w:footer="1343" w:gutter="0"/>
          <w:cols w:space="720" w:num="1"/>
        </w:sectPr>
      </w:pPr>
    </w:p>
    <w:p w14:paraId="69C0690F">
      <w:pPr>
        <w:spacing w:line="254" w:lineRule="auto"/>
        <w:rPr>
          <w:rFonts w:ascii="Arial"/>
          <w:sz w:val="21"/>
        </w:rPr>
      </w:pPr>
    </w:p>
    <w:p w14:paraId="4FD85E92">
      <w:pPr>
        <w:spacing w:line="255" w:lineRule="auto"/>
        <w:rPr>
          <w:rFonts w:ascii="Arial"/>
          <w:sz w:val="21"/>
        </w:rPr>
      </w:pPr>
    </w:p>
    <w:p w14:paraId="24D2C235">
      <w:pPr>
        <w:spacing w:line="255" w:lineRule="auto"/>
        <w:rPr>
          <w:rFonts w:ascii="Arial"/>
          <w:sz w:val="21"/>
        </w:rPr>
      </w:pPr>
    </w:p>
    <w:p w14:paraId="6EB3E240">
      <w:pPr>
        <w:pStyle w:val="2"/>
        <w:spacing w:before="101" w:line="356" w:lineRule="auto"/>
        <w:ind w:firstLine="46"/>
      </w:pPr>
      <w:r>
        <w:rPr>
          <w:spacing w:val="11"/>
        </w:rPr>
        <w:t>中发生的无法在直接费用中列支的相关费用，主要用于激励科</w:t>
      </w:r>
      <w:r>
        <w:rPr>
          <w:spacing w:val="8"/>
        </w:rPr>
        <w:t xml:space="preserve"> </w:t>
      </w:r>
      <w:r>
        <w:rPr>
          <w:spacing w:val="9"/>
        </w:rPr>
        <w:t>研人员的绩效支出，原则上少列支或不列支管理费。</w:t>
      </w:r>
    </w:p>
    <w:p w14:paraId="0F14C960">
      <w:pPr>
        <w:pStyle w:val="2"/>
        <w:spacing w:before="2" w:line="347" w:lineRule="auto"/>
        <w:ind w:left="5" w:firstLine="674"/>
        <w:jc w:val="both"/>
      </w:pPr>
      <w:r>
        <w:rPr>
          <w:spacing w:val="11"/>
        </w:rPr>
        <w:t>间接费用基础比例一般按照不超过项目资助总额的一定比</w:t>
      </w:r>
      <w:r>
        <w:rPr>
          <w:spacing w:val="16"/>
        </w:rPr>
        <w:t xml:space="preserve"> </w:t>
      </w:r>
      <w:r>
        <w:rPr>
          <w:spacing w:val="14"/>
        </w:rPr>
        <w:t>例核定。具体比例如下：</w:t>
      </w:r>
      <w:r>
        <w:rPr>
          <w:rFonts w:ascii="Times New Roman" w:hAnsi="Times New Roman" w:eastAsia="Times New Roman" w:cs="Times New Roman"/>
          <w:spacing w:val="14"/>
        </w:rPr>
        <w:t>50</w:t>
      </w:r>
      <w:r>
        <w:rPr>
          <w:rFonts w:ascii="Times New Roman" w:hAnsi="Times New Roman" w:eastAsia="Times New Roman" w:cs="Times New Roman"/>
          <w:spacing w:val="52"/>
          <w:w w:val="101"/>
        </w:rPr>
        <w:t xml:space="preserve"> </w:t>
      </w:r>
      <w:r>
        <w:rPr>
          <w:spacing w:val="14"/>
        </w:rPr>
        <w:t>万元及以下部分为</w:t>
      </w:r>
      <w:r>
        <w:rPr>
          <w:rFonts w:ascii="Times New Roman" w:hAnsi="Times New Roman" w:eastAsia="Times New Roman" w:cs="Times New Roman"/>
          <w:spacing w:val="14"/>
        </w:rPr>
        <w:t>40%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spacing w:val="14"/>
        </w:rPr>
        <w:t>；超过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14"/>
        </w:rPr>
        <w:t>50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14"/>
        </w:rPr>
        <w:t>万元的部分为</w:t>
      </w:r>
      <w:r>
        <w:rPr>
          <w:rFonts w:ascii="Times New Roman" w:hAnsi="Times New Roman" w:eastAsia="Times New Roman" w:cs="Times New Roman"/>
          <w:spacing w:val="14"/>
        </w:rPr>
        <w:t>30%</w:t>
      </w:r>
      <w:r>
        <w:rPr>
          <w:spacing w:val="14"/>
        </w:rPr>
        <w:t>。</w:t>
      </w:r>
    </w:p>
    <w:p w14:paraId="177CF345">
      <w:pPr>
        <w:pStyle w:val="2"/>
        <w:spacing w:before="51" w:line="344" w:lineRule="auto"/>
        <w:ind w:left="8" w:firstLine="670"/>
        <w:jc w:val="both"/>
      </w:pPr>
      <w:r>
        <w:rPr>
          <w:spacing w:val="11"/>
        </w:rPr>
        <w:t>间接费用根据科研人员在项目工作中的实际贡献，结合项</w:t>
      </w:r>
      <w:r>
        <w:rPr>
          <w:spacing w:val="16"/>
        </w:rPr>
        <w:t xml:space="preserve"> </w:t>
      </w:r>
      <w:r>
        <w:rPr>
          <w:spacing w:val="12"/>
        </w:rPr>
        <w:t>目研究进度和完成质量，公开公正安排绩效支出，充分发挥绩</w:t>
      </w:r>
      <w:r>
        <w:rPr>
          <w:spacing w:val="18"/>
        </w:rPr>
        <w:t xml:space="preserve"> </w:t>
      </w:r>
      <w:r>
        <w:rPr>
          <w:spacing w:val="6"/>
        </w:rPr>
        <w:t>效支出的激励作用。</w:t>
      </w:r>
    </w:p>
    <w:p w14:paraId="02C120F4">
      <w:pPr>
        <w:pStyle w:val="2"/>
        <w:spacing w:before="70" w:line="355" w:lineRule="auto"/>
        <w:ind w:left="5" w:firstLine="640"/>
      </w:pPr>
      <w:r>
        <w:rPr>
          <w:spacing w:val="13"/>
        </w:rPr>
        <w:t>项目责任单位不得在核定的间接费用以外再以任何名义在</w:t>
      </w:r>
      <w:r>
        <w:t xml:space="preserve"> </w:t>
      </w:r>
      <w:r>
        <w:rPr>
          <w:spacing w:val="8"/>
        </w:rPr>
        <w:t>项目资金中重复提取、列支相关费用。</w:t>
      </w:r>
    </w:p>
    <w:p w14:paraId="1891BCC1">
      <w:pPr>
        <w:spacing w:line="257" w:lineRule="auto"/>
        <w:rPr>
          <w:rFonts w:ascii="Arial"/>
          <w:sz w:val="21"/>
        </w:rPr>
      </w:pPr>
    </w:p>
    <w:p w14:paraId="1917ED5D">
      <w:pPr>
        <w:spacing w:line="257" w:lineRule="auto"/>
        <w:rPr>
          <w:rFonts w:ascii="Arial"/>
          <w:sz w:val="21"/>
        </w:rPr>
      </w:pPr>
    </w:p>
    <w:p w14:paraId="1D708BDF">
      <w:pPr>
        <w:spacing w:before="101" w:line="213" w:lineRule="auto"/>
        <w:ind w:left="261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第四章  资金拨付和管理</w:t>
      </w:r>
    </w:p>
    <w:p w14:paraId="5E3B6B31">
      <w:pPr>
        <w:spacing w:line="241" w:lineRule="auto"/>
        <w:rPr>
          <w:rFonts w:ascii="Arial"/>
          <w:sz w:val="21"/>
        </w:rPr>
      </w:pPr>
    </w:p>
    <w:p w14:paraId="6DFAEE3C">
      <w:pPr>
        <w:spacing w:line="241" w:lineRule="auto"/>
        <w:rPr>
          <w:rFonts w:ascii="Arial"/>
          <w:sz w:val="21"/>
        </w:rPr>
      </w:pPr>
    </w:p>
    <w:p w14:paraId="3246A171">
      <w:pPr>
        <w:spacing w:line="242" w:lineRule="auto"/>
        <w:rPr>
          <w:rFonts w:ascii="Arial"/>
          <w:sz w:val="21"/>
        </w:rPr>
      </w:pPr>
    </w:p>
    <w:p w14:paraId="6059BE63">
      <w:pPr>
        <w:pStyle w:val="2"/>
        <w:spacing w:before="101" w:line="305" w:lineRule="auto"/>
        <w:ind w:left="3" w:right="36" w:firstLine="644"/>
      </w:pPr>
      <w:r>
        <w:rPr>
          <w:rFonts w:ascii="黑体" w:hAnsi="黑体" w:eastAsia="黑体" w:cs="黑体"/>
          <w:spacing w:val="11"/>
        </w:rPr>
        <w:t xml:space="preserve">第十一条  </w:t>
      </w:r>
      <w:r>
        <w:rPr>
          <w:spacing w:val="11"/>
        </w:rPr>
        <w:t>项目资金的审批原则为申报审批、一次核定、</w:t>
      </w:r>
      <w:r>
        <w:rPr>
          <w:spacing w:val="1"/>
        </w:rPr>
        <w:t xml:space="preserve"> </w:t>
      </w:r>
      <w:r>
        <w:rPr>
          <w:spacing w:val="7"/>
        </w:rPr>
        <w:t>分期拨付、超支不补。</w:t>
      </w:r>
    </w:p>
    <w:p w14:paraId="2AE01129">
      <w:pPr>
        <w:pStyle w:val="2"/>
        <w:spacing w:before="178" w:line="331" w:lineRule="auto"/>
        <w:ind w:left="5" w:firstLine="643"/>
      </w:pPr>
      <w:r>
        <w:rPr>
          <w:rFonts w:ascii="黑体" w:hAnsi="黑体" w:eastAsia="黑体" w:cs="黑体"/>
          <w:spacing w:val="12"/>
        </w:rPr>
        <w:t xml:space="preserve">第十二条  </w:t>
      </w:r>
      <w:r>
        <w:rPr>
          <w:spacing w:val="12"/>
        </w:rPr>
        <w:t>项目负责人应当按照目标相关性、政策相符性</w:t>
      </w:r>
      <w:r>
        <w:rPr>
          <w:spacing w:val="10"/>
        </w:rPr>
        <w:t xml:space="preserve"> </w:t>
      </w:r>
      <w:r>
        <w:rPr>
          <w:spacing w:val="13"/>
        </w:rPr>
        <w:t>和经济合理性原则，根据项目研究需要和资金开支</w:t>
      </w:r>
      <w:r>
        <w:rPr>
          <w:spacing w:val="12"/>
        </w:rPr>
        <w:t>范围，科学</w:t>
      </w:r>
      <w:r>
        <w:t xml:space="preserve"> </w:t>
      </w:r>
      <w:r>
        <w:rPr>
          <w:spacing w:val="13"/>
        </w:rPr>
        <w:t>合理、实事求是地编制项目预算。直接费用只提供</w:t>
      </w:r>
      <w:r>
        <w:rPr>
          <w:spacing w:val="12"/>
        </w:rPr>
        <w:t>基本测算说</w:t>
      </w:r>
      <w:r>
        <w:t xml:space="preserve"> </w:t>
      </w:r>
      <w:r>
        <w:rPr>
          <w:spacing w:val="7"/>
        </w:rPr>
        <w:t>明，不需要提供明细。</w:t>
      </w:r>
    </w:p>
    <w:p w14:paraId="4B6EFE72">
      <w:pPr>
        <w:pStyle w:val="2"/>
        <w:spacing w:before="174" w:line="356" w:lineRule="auto"/>
        <w:ind w:left="2" w:firstLine="647"/>
      </w:pPr>
      <w:r>
        <w:rPr>
          <w:spacing w:val="13"/>
        </w:rPr>
        <w:t>成果鉴定费在运转类经费中预留，项目预算中不</w:t>
      </w:r>
      <w:r>
        <w:rPr>
          <w:spacing w:val="12"/>
        </w:rPr>
        <w:t>再列支成</w:t>
      </w:r>
      <w:r>
        <w:t xml:space="preserve"> </w:t>
      </w:r>
      <w:r>
        <w:rPr>
          <w:spacing w:val="5"/>
        </w:rPr>
        <w:t>果鉴定费。</w:t>
      </w:r>
    </w:p>
    <w:p w14:paraId="01E562F3">
      <w:pPr>
        <w:spacing w:line="356" w:lineRule="auto"/>
        <w:sectPr>
          <w:footerReference r:id="rId7" w:type="default"/>
          <w:pgSz w:w="11906" w:h="16839"/>
          <w:pgMar w:top="1431" w:right="1588" w:bottom="1617" w:left="1595" w:header="0" w:footer="1368" w:gutter="0"/>
          <w:cols w:space="720" w:num="1"/>
        </w:sectPr>
      </w:pPr>
    </w:p>
    <w:p w14:paraId="38FE98A0">
      <w:pPr>
        <w:spacing w:line="255" w:lineRule="auto"/>
        <w:rPr>
          <w:rFonts w:ascii="Arial"/>
          <w:sz w:val="21"/>
        </w:rPr>
      </w:pPr>
    </w:p>
    <w:p w14:paraId="234F06F0">
      <w:pPr>
        <w:spacing w:line="256" w:lineRule="auto"/>
        <w:rPr>
          <w:rFonts w:ascii="Arial"/>
          <w:sz w:val="21"/>
        </w:rPr>
      </w:pPr>
    </w:p>
    <w:p w14:paraId="600614E4">
      <w:pPr>
        <w:spacing w:line="256" w:lineRule="auto"/>
        <w:rPr>
          <w:rFonts w:ascii="Arial"/>
          <w:sz w:val="21"/>
        </w:rPr>
      </w:pPr>
    </w:p>
    <w:p w14:paraId="5A00147C">
      <w:pPr>
        <w:pStyle w:val="2"/>
        <w:spacing w:before="101" w:line="354" w:lineRule="auto"/>
        <w:ind w:left="9" w:right="7" w:firstLine="644"/>
        <w:jc w:val="both"/>
      </w:pPr>
      <w:r>
        <w:rPr>
          <w:rFonts w:ascii="黑体" w:hAnsi="黑体" w:eastAsia="黑体" w:cs="黑体"/>
          <w:spacing w:val="12"/>
        </w:rPr>
        <w:t xml:space="preserve">第十三条  </w:t>
      </w:r>
      <w:r>
        <w:rPr>
          <w:spacing w:val="12"/>
        </w:rPr>
        <w:t>根据核定的项目资助额度，由省财政厅会同省</w:t>
      </w:r>
      <w:r>
        <w:rPr>
          <w:spacing w:val="10"/>
        </w:rPr>
        <w:t xml:space="preserve"> </w:t>
      </w:r>
      <w:r>
        <w:rPr>
          <w:spacing w:val="13"/>
        </w:rPr>
        <w:t>委宣传部按照国库集中支付的原则，分期将项目资金</w:t>
      </w:r>
      <w:r>
        <w:rPr>
          <w:spacing w:val="12"/>
        </w:rPr>
        <w:t>拨付至项</w:t>
      </w:r>
      <w:r>
        <w:t xml:space="preserve"> </w:t>
      </w:r>
      <w:r>
        <w:rPr>
          <w:spacing w:val="12"/>
        </w:rPr>
        <w:t>目责任单位。首次拨款按照核定资金额的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80%</w:t>
      </w:r>
      <w:r>
        <w:rPr>
          <w:spacing w:val="12"/>
        </w:rPr>
        <w:t>支付，其余</w:t>
      </w:r>
      <w:r>
        <w:rPr>
          <w:rFonts w:ascii="Times New Roman" w:hAnsi="Times New Roman" w:eastAsia="Times New Roman" w:cs="Times New Roman"/>
          <w:spacing w:val="12"/>
        </w:rPr>
        <w:t>20%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13"/>
        </w:rPr>
        <w:t>作为预留资金，待项目验收结项后拨付，未通过验收</w:t>
      </w:r>
      <w:r>
        <w:rPr>
          <w:spacing w:val="12"/>
        </w:rPr>
        <w:t>结项的项</w:t>
      </w:r>
      <w:r>
        <w:t xml:space="preserve"> </w:t>
      </w:r>
      <w:r>
        <w:rPr>
          <w:spacing w:val="7"/>
        </w:rPr>
        <w:t>目，预留资金不再拨付。</w:t>
      </w:r>
    </w:p>
    <w:p w14:paraId="121C3A30">
      <w:pPr>
        <w:pStyle w:val="2"/>
        <w:spacing w:before="22" w:line="357" w:lineRule="auto"/>
        <w:ind w:left="12" w:right="9" w:firstLine="666"/>
        <w:jc w:val="both"/>
      </w:pPr>
      <w:r>
        <w:rPr>
          <w:spacing w:val="12"/>
        </w:rPr>
        <w:t>多个单位协作研究项目的资金，拨付到项目责任单位</w:t>
      </w:r>
      <w:r>
        <w:rPr>
          <w:spacing w:val="11"/>
        </w:rPr>
        <w:t>，项</w:t>
      </w:r>
      <w:r>
        <w:t xml:space="preserve"> </w:t>
      </w:r>
      <w:r>
        <w:rPr>
          <w:spacing w:val="13"/>
        </w:rPr>
        <w:t>目责任单位应当根据预算安排将经费转拨至合</w:t>
      </w:r>
      <w:r>
        <w:rPr>
          <w:spacing w:val="12"/>
        </w:rPr>
        <w:t>作研究单位，并</w:t>
      </w:r>
      <w:r>
        <w:t xml:space="preserve"> </w:t>
      </w:r>
      <w:r>
        <w:rPr>
          <w:spacing w:val="7"/>
        </w:rPr>
        <w:t>加强外拨经费的监督管理。</w:t>
      </w:r>
    </w:p>
    <w:p w14:paraId="6E77CE58">
      <w:pPr>
        <w:pStyle w:val="2"/>
        <w:spacing w:before="3" w:line="356" w:lineRule="auto"/>
        <w:ind w:left="7" w:right="9" w:firstLine="647"/>
        <w:jc w:val="both"/>
      </w:pPr>
      <w:r>
        <w:rPr>
          <w:rFonts w:ascii="黑体" w:hAnsi="黑体" w:eastAsia="黑体" w:cs="黑体"/>
          <w:spacing w:val="12"/>
        </w:rPr>
        <w:t xml:space="preserve">第十四条  </w:t>
      </w:r>
      <w:r>
        <w:rPr>
          <w:spacing w:val="12"/>
        </w:rPr>
        <w:t>在项目总预算不变的情况下，项目负责人可根</w:t>
      </w:r>
      <w:r>
        <w:rPr>
          <w:spacing w:val="10"/>
        </w:rPr>
        <w:t xml:space="preserve"> </w:t>
      </w:r>
      <w:r>
        <w:rPr>
          <w:spacing w:val="13"/>
        </w:rPr>
        <w:t>据科研活动实际需要自主调整直接费用全部科目的经费支出，</w:t>
      </w:r>
      <w:r>
        <w:t xml:space="preserve"> </w:t>
      </w:r>
      <w:r>
        <w:rPr>
          <w:spacing w:val="9"/>
        </w:rPr>
        <w:t>不受比例限制，由项目责任单位办理调剂手</w:t>
      </w:r>
      <w:r>
        <w:rPr>
          <w:spacing w:val="8"/>
        </w:rPr>
        <w:t>续。</w:t>
      </w:r>
    </w:p>
    <w:p w14:paraId="3D091137">
      <w:pPr>
        <w:pStyle w:val="2"/>
        <w:spacing w:before="9" w:line="355" w:lineRule="auto"/>
        <w:ind w:left="8" w:right="9" w:firstLine="643"/>
      </w:pPr>
      <w:r>
        <w:rPr>
          <w:spacing w:val="13"/>
        </w:rPr>
        <w:t>项目在研期间，间接费用预算总额不得调增，项目责任单</w:t>
      </w:r>
      <w:r>
        <w:t xml:space="preserve"> </w:t>
      </w:r>
      <w:r>
        <w:rPr>
          <w:spacing w:val="9"/>
        </w:rPr>
        <w:t>位与项目负责人协商一致后可调减用于直接费用。</w:t>
      </w:r>
    </w:p>
    <w:p w14:paraId="506A842E">
      <w:pPr>
        <w:pStyle w:val="2"/>
        <w:spacing w:before="6" w:line="355" w:lineRule="auto"/>
        <w:ind w:left="16" w:right="9" w:firstLine="638"/>
      </w:pPr>
      <w:r>
        <w:rPr>
          <w:rFonts w:ascii="黑体" w:hAnsi="黑体" w:eastAsia="黑体" w:cs="黑体"/>
          <w:spacing w:val="10"/>
        </w:rPr>
        <w:t xml:space="preserve">第十五条  </w:t>
      </w:r>
      <w:r>
        <w:rPr>
          <w:spacing w:val="10"/>
        </w:rPr>
        <w:t>资助额度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5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10"/>
        </w:rPr>
        <w:t>万元及以下的省社科基金项目，经</w:t>
      </w:r>
      <w:r>
        <w:t xml:space="preserve"> </w:t>
      </w:r>
      <w:r>
        <w:rPr>
          <w:spacing w:val="8"/>
        </w:rPr>
        <w:t>省委宣传部同意可以实行项目经费包干制。</w:t>
      </w:r>
    </w:p>
    <w:p w14:paraId="7255D3DE">
      <w:pPr>
        <w:pStyle w:val="2"/>
        <w:spacing w:before="4" w:line="357" w:lineRule="auto"/>
        <w:ind w:left="8" w:firstLine="657"/>
        <w:jc w:val="both"/>
      </w:pPr>
      <w:r>
        <w:rPr>
          <w:spacing w:val="12"/>
        </w:rPr>
        <w:t>实行包干制的项目无需编制项目预算。包干制项目负责人</w:t>
      </w:r>
      <w:r>
        <w:rPr>
          <w:spacing w:val="11"/>
        </w:rPr>
        <w:t xml:space="preserve"> </w:t>
      </w:r>
      <w:r>
        <w:rPr>
          <w:spacing w:val="13"/>
        </w:rPr>
        <w:t>在承诺遵守科研伦理道德和作风学风诚信要求、经费全</w:t>
      </w:r>
      <w:r>
        <w:rPr>
          <w:spacing w:val="12"/>
        </w:rPr>
        <w:t>部用于</w:t>
      </w:r>
      <w:r>
        <w:t xml:space="preserve"> </w:t>
      </w:r>
      <w:r>
        <w:rPr>
          <w:spacing w:val="2"/>
        </w:rPr>
        <w:t>与项目研究工作相关支出的基础上，本着科学</w:t>
      </w:r>
      <w:r>
        <w:rPr>
          <w:spacing w:val="1"/>
        </w:rPr>
        <w:t>、合理、规范、有</w:t>
      </w:r>
      <w:r>
        <w:t xml:space="preserve"> 效的原则自主决定资金使用，按照本办法规定的开支范围列支。</w:t>
      </w:r>
    </w:p>
    <w:p w14:paraId="278B82B5">
      <w:pPr>
        <w:pStyle w:val="2"/>
        <w:spacing w:before="5" w:line="355" w:lineRule="auto"/>
        <w:ind w:left="9" w:right="9" w:firstLine="642"/>
      </w:pPr>
      <w:r>
        <w:rPr>
          <w:spacing w:val="13"/>
        </w:rPr>
        <w:t>项目责任单位应当强化主体责任，制定项目资金包干制管</w:t>
      </w:r>
      <w:r>
        <w:t xml:space="preserve"> </w:t>
      </w:r>
      <w:r>
        <w:rPr>
          <w:spacing w:val="8"/>
        </w:rPr>
        <w:t>理规定，确保项目经费规范使用。</w:t>
      </w:r>
    </w:p>
    <w:p w14:paraId="3CA62C38">
      <w:pPr>
        <w:spacing w:line="355" w:lineRule="auto"/>
        <w:sectPr>
          <w:footerReference r:id="rId8" w:type="default"/>
          <w:pgSz w:w="11906" w:h="16839"/>
          <w:pgMar w:top="1431" w:right="1579" w:bottom="1711" w:left="1588" w:header="0" w:footer="1343" w:gutter="0"/>
          <w:cols w:space="720" w:num="1"/>
        </w:sectPr>
      </w:pPr>
    </w:p>
    <w:p w14:paraId="3EE85BDA">
      <w:pPr>
        <w:spacing w:line="254" w:lineRule="auto"/>
        <w:rPr>
          <w:rFonts w:ascii="Arial"/>
          <w:sz w:val="21"/>
        </w:rPr>
      </w:pPr>
    </w:p>
    <w:p w14:paraId="6420FCB2">
      <w:pPr>
        <w:spacing w:line="255" w:lineRule="auto"/>
        <w:rPr>
          <w:rFonts w:ascii="Arial"/>
          <w:sz w:val="21"/>
        </w:rPr>
      </w:pPr>
    </w:p>
    <w:p w14:paraId="6C0CEFAE">
      <w:pPr>
        <w:spacing w:line="255" w:lineRule="auto"/>
        <w:rPr>
          <w:rFonts w:ascii="Arial"/>
          <w:sz w:val="21"/>
        </w:rPr>
      </w:pPr>
    </w:p>
    <w:p w14:paraId="6FC1CCFE">
      <w:pPr>
        <w:pStyle w:val="2"/>
        <w:spacing w:before="100" w:line="355" w:lineRule="auto"/>
        <w:ind w:left="9" w:firstLine="644"/>
      </w:pPr>
      <w:r>
        <w:rPr>
          <w:rFonts w:ascii="黑体" w:hAnsi="黑体" w:eastAsia="黑体" w:cs="黑体"/>
          <w:spacing w:val="25"/>
        </w:rPr>
        <w:t xml:space="preserve">第十六条  </w:t>
      </w:r>
      <w:r>
        <w:rPr>
          <w:spacing w:val="25"/>
        </w:rPr>
        <w:t>项目资金应当纳入项目责任单位财务统一管</w:t>
      </w:r>
      <w:r>
        <w:rPr>
          <w:spacing w:val="7"/>
        </w:rPr>
        <w:t xml:space="preserve"> 理，单独核算，专款专用。</w:t>
      </w:r>
    </w:p>
    <w:p w14:paraId="61B52712">
      <w:pPr>
        <w:pStyle w:val="2"/>
        <w:spacing w:before="8" w:line="355" w:lineRule="auto"/>
        <w:ind w:left="7" w:firstLine="644"/>
        <w:jc w:val="both"/>
      </w:pPr>
      <w:r>
        <w:rPr>
          <w:spacing w:val="13"/>
        </w:rPr>
        <w:t>项目责任单位应当严格执行国家有关支出管理制度。对应</w:t>
      </w:r>
      <w:r>
        <w:t xml:space="preserve"> </w:t>
      </w:r>
      <w:r>
        <w:rPr>
          <w:spacing w:val="13"/>
        </w:rPr>
        <w:t>当实行公务卡结算的支出，按照省级单位公务卡结算的有关规</w:t>
      </w:r>
      <w:r>
        <w:t xml:space="preserve"> </w:t>
      </w:r>
      <w:r>
        <w:rPr>
          <w:spacing w:val="9"/>
        </w:rPr>
        <w:t>定执行。劳务费支出原则上应当通过银行转账方式结算。</w:t>
      </w:r>
    </w:p>
    <w:p w14:paraId="480FBE79">
      <w:pPr>
        <w:pStyle w:val="2"/>
        <w:spacing w:before="9" w:line="339" w:lineRule="auto"/>
        <w:ind w:left="7" w:firstLine="644"/>
      </w:pPr>
      <w:r>
        <w:rPr>
          <w:spacing w:val="13"/>
        </w:rPr>
        <w:t>项目资金属于政府采购范围的，应当按照政府采购有关规</w:t>
      </w:r>
      <w:r>
        <w:t xml:space="preserve"> </w:t>
      </w:r>
      <w:r>
        <w:rPr>
          <w:spacing w:val="4"/>
        </w:rPr>
        <w:t>定执行。</w:t>
      </w:r>
    </w:p>
    <w:p w14:paraId="4D8EFB05">
      <w:pPr>
        <w:pStyle w:val="2"/>
        <w:spacing w:before="58" w:line="340" w:lineRule="auto"/>
        <w:ind w:firstLine="654"/>
      </w:pPr>
      <w:r>
        <w:rPr>
          <w:rFonts w:ascii="黑体" w:hAnsi="黑体" w:eastAsia="黑体" w:cs="黑体"/>
          <w:spacing w:val="12"/>
        </w:rPr>
        <w:t xml:space="preserve">第十七条  </w:t>
      </w:r>
      <w:r>
        <w:rPr>
          <w:spacing w:val="12"/>
        </w:rPr>
        <w:t>项目实施过程中，因科研活动实际需要，可以</w:t>
      </w:r>
      <w:r>
        <w:rPr>
          <w:spacing w:val="10"/>
        </w:rPr>
        <w:t xml:space="preserve"> </w:t>
      </w:r>
      <w:r>
        <w:rPr>
          <w:spacing w:val="13"/>
        </w:rPr>
        <w:t>对国内差旅费中的伙食补助费、市内交通费和难以取得发票的</w:t>
      </w:r>
      <w:r>
        <w:rPr>
          <w:spacing w:val="6"/>
        </w:rPr>
        <w:t xml:space="preserve"> </w:t>
      </w:r>
      <w:r>
        <w:rPr>
          <w:spacing w:val="13"/>
        </w:rPr>
        <w:t>住宿费实行包干制。对野外考察、数据采集等科研活动中无法</w:t>
      </w:r>
      <w:r>
        <w:rPr>
          <w:spacing w:val="6"/>
        </w:rPr>
        <w:t xml:space="preserve"> </w:t>
      </w:r>
      <w:r>
        <w:rPr>
          <w:spacing w:val="13"/>
        </w:rPr>
        <w:t>取得发票或财政票据的支出，在确保真实性的前提下，可以按</w:t>
      </w:r>
      <w:r>
        <w:rPr>
          <w:spacing w:val="6"/>
        </w:rPr>
        <w:t xml:space="preserve"> </w:t>
      </w:r>
      <w:r>
        <w:rPr>
          <w:spacing w:val="13"/>
        </w:rPr>
        <w:t>照实际发生额予以报销。项目责任单位应当针对以上情况制定</w:t>
      </w:r>
      <w:r>
        <w:rPr>
          <w:spacing w:val="6"/>
        </w:rPr>
        <w:t xml:space="preserve"> </w:t>
      </w:r>
      <w:r>
        <w:rPr>
          <w:spacing w:val="9"/>
        </w:rPr>
        <w:t>相应的财务管理规定，并承担管理主体责任。</w:t>
      </w:r>
    </w:p>
    <w:p w14:paraId="2941CCDB">
      <w:pPr>
        <w:pStyle w:val="2"/>
        <w:spacing w:before="180" w:line="322" w:lineRule="auto"/>
        <w:ind w:left="9" w:firstLine="644"/>
      </w:pPr>
      <w:r>
        <w:rPr>
          <w:rFonts w:ascii="黑体" w:hAnsi="黑体" w:eastAsia="黑体" w:cs="黑体"/>
          <w:spacing w:val="12"/>
        </w:rPr>
        <w:t xml:space="preserve">第十八条  </w:t>
      </w:r>
      <w:r>
        <w:rPr>
          <w:spacing w:val="12"/>
        </w:rPr>
        <w:t>项目责任单位应当强化创新服务，改进财务报</w:t>
      </w:r>
      <w:r>
        <w:rPr>
          <w:spacing w:val="10"/>
        </w:rPr>
        <w:t xml:space="preserve"> </w:t>
      </w:r>
      <w:r>
        <w:rPr>
          <w:spacing w:val="13"/>
        </w:rPr>
        <w:t>销管理方式，充分利用信息化手段，建立符合科研实</w:t>
      </w:r>
      <w:r>
        <w:rPr>
          <w:spacing w:val="12"/>
        </w:rPr>
        <w:t>际需要的</w:t>
      </w:r>
      <w:r>
        <w:t xml:space="preserve"> </w:t>
      </w:r>
      <w:r>
        <w:rPr>
          <w:spacing w:val="8"/>
        </w:rPr>
        <w:t>报销机制，让科研人员潜心从事科学研究。</w:t>
      </w:r>
    </w:p>
    <w:p w14:paraId="363C5CFB">
      <w:pPr>
        <w:pStyle w:val="2"/>
        <w:spacing w:before="178" w:line="322" w:lineRule="auto"/>
        <w:ind w:left="17" w:firstLine="636"/>
      </w:pPr>
      <w:r>
        <w:rPr>
          <w:rFonts w:ascii="黑体" w:hAnsi="黑体" w:eastAsia="黑体" w:cs="黑体"/>
          <w:spacing w:val="12"/>
        </w:rPr>
        <w:t xml:space="preserve">第十九条  </w:t>
      </w:r>
      <w:r>
        <w:rPr>
          <w:spacing w:val="12"/>
        </w:rPr>
        <w:t>项目验收完成后，责任单位和项目负责人应当</w:t>
      </w:r>
      <w:r>
        <w:rPr>
          <w:spacing w:val="10"/>
        </w:rPr>
        <w:t xml:space="preserve"> </w:t>
      </w:r>
      <w:r>
        <w:rPr>
          <w:spacing w:val="12"/>
        </w:rPr>
        <w:t>如实编制项目决算表。有外拨经费的项目，经合作单位审核并</w:t>
      </w:r>
      <w:r>
        <w:rPr>
          <w:spacing w:val="15"/>
        </w:rPr>
        <w:t xml:space="preserve"> </w:t>
      </w:r>
      <w:r>
        <w:rPr>
          <w:spacing w:val="9"/>
        </w:rPr>
        <w:t>签署意见后，由项目负责人汇总编制完整的</w:t>
      </w:r>
      <w:r>
        <w:rPr>
          <w:spacing w:val="8"/>
        </w:rPr>
        <w:t>项目经费决算。</w:t>
      </w:r>
    </w:p>
    <w:p w14:paraId="02ED231E">
      <w:pPr>
        <w:pStyle w:val="2"/>
        <w:spacing w:before="178" w:line="304" w:lineRule="auto"/>
        <w:ind w:left="6" w:firstLine="648"/>
      </w:pPr>
      <w:r>
        <w:rPr>
          <w:rFonts w:ascii="黑体" w:hAnsi="黑体" w:eastAsia="黑体" w:cs="黑体"/>
          <w:spacing w:val="12"/>
        </w:rPr>
        <w:t xml:space="preserve">第二十条  </w:t>
      </w:r>
      <w:r>
        <w:rPr>
          <w:spacing w:val="12"/>
        </w:rPr>
        <w:t>项目在研期间，年度剩余经费可以结转下一年</w:t>
      </w:r>
      <w:r>
        <w:rPr>
          <w:spacing w:val="10"/>
        </w:rPr>
        <w:t xml:space="preserve"> </w:t>
      </w:r>
      <w:r>
        <w:rPr>
          <w:spacing w:val="13"/>
        </w:rPr>
        <w:t>度使用。项目通过审核验收后，结余资金由责任单位统筹安排</w:t>
      </w:r>
    </w:p>
    <w:p w14:paraId="4C24A923">
      <w:pPr>
        <w:spacing w:line="304" w:lineRule="auto"/>
        <w:sectPr>
          <w:footerReference r:id="rId9" w:type="default"/>
          <w:pgSz w:w="11906" w:h="16839"/>
          <w:pgMar w:top="1431" w:right="1588" w:bottom="1617" w:left="1588" w:header="0" w:footer="1368" w:gutter="0"/>
          <w:cols w:space="720" w:num="1"/>
        </w:sectPr>
      </w:pPr>
    </w:p>
    <w:p w14:paraId="0A70EE22">
      <w:pPr>
        <w:spacing w:line="254" w:lineRule="auto"/>
        <w:rPr>
          <w:rFonts w:ascii="Arial"/>
          <w:sz w:val="21"/>
        </w:rPr>
      </w:pPr>
    </w:p>
    <w:p w14:paraId="63BA92B9">
      <w:pPr>
        <w:spacing w:line="254" w:lineRule="auto"/>
        <w:rPr>
          <w:rFonts w:ascii="Arial"/>
          <w:sz w:val="21"/>
        </w:rPr>
      </w:pPr>
    </w:p>
    <w:p w14:paraId="5B358B34">
      <w:pPr>
        <w:spacing w:line="255" w:lineRule="auto"/>
        <w:rPr>
          <w:rFonts w:ascii="Arial"/>
          <w:sz w:val="21"/>
        </w:rPr>
      </w:pPr>
    </w:p>
    <w:p w14:paraId="56D986F7">
      <w:pPr>
        <w:pStyle w:val="2"/>
        <w:spacing w:before="100" w:line="356" w:lineRule="auto"/>
        <w:ind w:left="74" w:right="125" w:hanging="63"/>
      </w:pPr>
      <w:r>
        <w:rPr>
          <w:spacing w:val="13"/>
        </w:rPr>
        <w:t>用于项目最终成果出版及后续研究的直接支出，优</w:t>
      </w:r>
      <w:r>
        <w:rPr>
          <w:spacing w:val="12"/>
        </w:rPr>
        <w:t>先考虑原项</w:t>
      </w:r>
      <w:r>
        <w:t xml:space="preserve"> </w:t>
      </w:r>
      <w:r>
        <w:rPr>
          <w:spacing w:val="-2"/>
        </w:rPr>
        <w:t>目团队科研需求。</w:t>
      </w:r>
    </w:p>
    <w:p w14:paraId="79544337">
      <w:pPr>
        <w:pStyle w:val="2"/>
        <w:spacing w:before="1" w:line="353" w:lineRule="auto"/>
        <w:ind w:left="8" w:firstLine="645"/>
        <w:jc w:val="both"/>
      </w:pPr>
      <w:r>
        <w:rPr>
          <w:rFonts w:ascii="黑体" w:hAnsi="黑体" w:eastAsia="黑体" w:cs="黑体"/>
          <w:spacing w:val="12"/>
        </w:rPr>
        <w:t xml:space="preserve">第二十一条  </w:t>
      </w:r>
      <w:r>
        <w:rPr>
          <w:spacing w:val="12"/>
        </w:rPr>
        <w:t>对于因故被终止或撤项的项目，省委宣传部</w:t>
      </w:r>
      <w:r>
        <w:rPr>
          <w:spacing w:val="10"/>
        </w:rPr>
        <w:t xml:space="preserve"> </w:t>
      </w:r>
      <w:r>
        <w:rPr>
          <w:spacing w:val="6"/>
        </w:rPr>
        <w:t>视情节轻重分别作出退回结余资金、退回结余资金和</w:t>
      </w:r>
      <w:r>
        <w:rPr>
          <w:spacing w:val="5"/>
        </w:rPr>
        <w:t>绩效支出、</w:t>
      </w:r>
      <w:r>
        <w:t xml:space="preserve"> </w:t>
      </w:r>
      <w:r>
        <w:rPr>
          <w:spacing w:val="6"/>
        </w:rPr>
        <w:t>退回已拨资金处理。责任单位应当在接到通知后</w:t>
      </w:r>
      <w:r>
        <w:rPr>
          <w:rFonts w:ascii="Times New Roman" w:hAnsi="Times New Roman" w:eastAsia="Times New Roman" w:cs="Times New Roman"/>
          <w:spacing w:val="6"/>
        </w:rPr>
        <w:t xml:space="preserve">30  </w:t>
      </w:r>
      <w:r>
        <w:rPr>
          <w:spacing w:val="6"/>
        </w:rPr>
        <w:t>日内，按要</w:t>
      </w:r>
      <w:r>
        <w:rPr>
          <w:spacing w:val="13"/>
        </w:rPr>
        <w:t xml:space="preserve"> </w:t>
      </w:r>
      <w:r>
        <w:rPr>
          <w:spacing w:val="7"/>
        </w:rPr>
        <w:t>求将资金上缴省财政厅。</w:t>
      </w:r>
    </w:p>
    <w:p w14:paraId="222E9CFD">
      <w:pPr>
        <w:spacing w:line="270" w:lineRule="auto"/>
        <w:rPr>
          <w:rFonts w:ascii="Arial"/>
          <w:sz w:val="21"/>
        </w:rPr>
      </w:pPr>
    </w:p>
    <w:p w14:paraId="5D09D421">
      <w:pPr>
        <w:spacing w:line="270" w:lineRule="auto"/>
        <w:rPr>
          <w:rFonts w:ascii="Arial"/>
          <w:sz w:val="21"/>
        </w:rPr>
      </w:pPr>
    </w:p>
    <w:p w14:paraId="587B5006">
      <w:pPr>
        <w:spacing w:before="101" w:line="212" w:lineRule="auto"/>
        <w:ind w:left="2300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第五章  绩效管理与监督检查</w:t>
      </w:r>
    </w:p>
    <w:p w14:paraId="567F4F2A">
      <w:pPr>
        <w:spacing w:line="241" w:lineRule="auto"/>
        <w:rPr>
          <w:rFonts w:ascii="Arial"/>
          <w:sz w:val="21"/>
        </w:rPr>
      </w:pPr>
    </w:p>
    <w:p w14:paraId="56E2F822">
      <w:pPr>
        <w:spacing w:line="241" w:lineRule="auto"/>
        <w:rPr>
          <w:rFonts w:ascii="Arial"/>
          <w:sz w:val="21"/>
        </w:rPr>
      </w:pPr>
    </w:p>
    <w:p w14:paraId="127B1FFE">
      <w:pPr>
        <w:spacing w:line="242" w:lineRule="auto"/>
        <w:rPr>
          <w:rFonts w:ascii="Arial"/>
          <w:sz w:val="21"/>
        </w:rPr>
      </w:pPr>
    </w:p>
    <w:p w14:paraId="4CE74FE9">
      <w:pPr>
        <w:pStyle w:val="2"/>
        <w:spacing w:before="101" w:line="356" w:lineRule="auto"/>
        <w:ind w:left="7" w:right="125" w:firstLine="647"/>
        <w:jc w:val="both"/>
      </w:pPr>
      <w:r>
        <w:rPr>
          <w:rFonts w:ascii="黑体" w:hAnsi="黑体" w:eastAsia="黑体" w:cs="黑体"/>
          <w:spacing w:val="12"/>
        </w:rPr>
        <w:t xml:space="preserve">第二十二条  </w:t>
      </w:r>
      <w:r>
        <w:rPr>
          <w:spacing w:val="12"/>
        </w:rPr>
        <w:t>省财政厅和省委宣传部根据职责分工，加强</w:t>
      </w:r>
      <w:r>
        <w:rPr>
          <w:spacing w:val="10"/>
        </w:rPr>
        <w:t xml:space="preserve"> </w:t>
      </w:r>
      <w:r>
        <w:rPr>
          <w:spacing w:val="13"/>
        </w:rPr>
        <w:t>对项目资金使用绩效管理，强化绩效评价结果运用，将绩效评</w:t>
      </w:r>
      <w:r>
        <w:t xml:space="preserve"> </w:t>
      </w:r>
      <w:r>
        <w:rPr>
          <w:spacing w:val="8"/>
        </w:rPr>
        <w:t>价结果作为项目调整、后续支持的重要参考。</w:t>
      </w:r>
    </w:p>
    <w:p w14:paraId="7A306F1E">
      <w:pPr>
        <w:pStyle w:val="2"/>
        <w:spacing w:before="8" w:line="356" w:lineRule="auto"/>
        <w:ind w:left="15" w:right="125" w:firstLine="636"/>
      </w:pPr>
      <w:r>
        <w:rPr>
          <w:spacing w:val="13"/>
        </w:rPr>
        <w:t>项目责任单位应当切实加强绩效管理，引导科研资源向优</w:t>
      </w:r>
      <w:r>
        <w:t xml:space="preserve"> </w:t>
      </w:r>
      <w:r>
        <w:rPr>
          <w:spacing w:val="8"/>
        </w:rPr>
        <w:t>秀人才和团队倾斜，提高科研经费使用效益。</w:t>
      </w:r>
    </w:p>
    <w:p w14:paraId="7B66C1D8">
      <w:pPr>
        <w:pStyle w:val="2"/>
        <w:spacing w:before="2" w:line="357" w:lineRule="auto"/>
        <w:ind w:left="12" w:right="125" w:firstLine="642"/>
        <w:jc w:val="both"/>
      </w:pPr>
      <w:r>
        <w:rPr>
          <w:rFonts w:ascii="黑体" w:hAnsi="黑体" w:eastAsia="黑体" w:cs="黑体"/>
          <w:spacing w:val="12"/>
        </w:rPr>
        <w:t xml:space="preserve">第二十三条  </w:t>
      </w:r>
      <w:r>
        <w:rPr>
          <w:spacing w:val="12"/>
        </w:rPr>
        <w:t>建立健全项目资金使用和管理承诺机制。项</w:t>
      </w:r>
      <w:r>
        <w:rPr>
          <w:spacing w:val="10"/>
        </w:rPr>
        <w:t xml:space="preserve"> </w:t>
      </w:r>
      <w:r>
        <w:rPr>
          <w:spacing w:val="13"/>
        </w:rPr>
        <w:t>目责任单位应当承诺依法依规履行项目经费管</w:t>
      </w:r>
      <w:r>
        <w:rPr>
          <w:spacing w:val="12"/>
        </w:rPr>
        <w:t>理职责，遵守国</w:t>
      </w:r>
      <w:r>
        <w:t xml:space="preserve"> </w:t>
      </w:r>
      <w:r>
        <w:rPr>
          <w:spacing w:val="9"/>
        </w:rPr>
        <w:t>家财政、财务规章制度和财经纪律，</w:t>
      </w:r>
      <w:r>
        <w:rPr>
          <w:spacing w:val="-54"/>
        </w:rPr>
        <w:t xml:space="preserve"> </w:t>
      </w:r>
      <w:r>
        <w:rPr>
          <w:spacing w:val="9"/>
        </w:rPr>
        <w:t>自觉接受财政、审计等部</w:t>
      </w:r>
      <w:r>
        <w:t xml:space="preserve"> </w:t>
      </w:r>
      <w:r>
        <w:rPr>
          <w:spacing w:val="13"/>
        </w:rPr>
        <w:t>门的监督检查。项目负责人应当承诺提供真实</w:t>
      </w:r>
      <w:r>
        <w:rPr>
          <w:spacing w:val="12"/>
        </w:rPr>
        <w:t>的项目信息，并</w:t>
      </w:r>
      <w:r>
        <w:t xml:space="preserve"> </w:t>
      </w:r>
      <w:r>
        <w:rPr>
          <w:spacing w:val="13"/>
        </w:rPr>
        <w:t>认真遵守项目资金管理的有关规定。项目责任</w:t>
      </w:r>
      <w:r>
        <w:rPr>
          <w:spacing w:val="12"/>
        </w:rPr>
        <w:t>单位和项目负责</w:t>
      </w:r>
      <w:r>
        <w:t xml:space="preserve"> </w:t>
      </w:r>
      <w:r>
        <w:rPr>
          <w:spacing w:val="8"/>
        </w:rPr>
        <w:t>人对违反承诺导致的后果承担相应责任。</w:t>
      </w:r>
    </w:p>
    <w:p w14:paraId="4D15285F">
      <w:pPr>
        <w:pStyle w:val="2"/>
        <w:spacing w:before="6" w:line="423" w:lineRule="exact"/>
        <w:ind w:left="654"/>
      </w:pPr>
      <w:r>
        <w:rPr>
          <w:spacing w:val="13"/>
          <w:position w:val="2"/>
        </w:rPr>
        <w:t>对项目责任单位和项目负责人进行信用评价和记录</w:t>
      </w:r>
      <w:r>
        <w:rPr>
          <w:spacing w:val="12"/>
          <w:position w:val="2"/>
        </w:rPr>
        <w:t>，评价</w:t>
      </w:r>
    </w:p>
    <w:p w14:paraId="2546DA9B">
      <w:pPr>
        <w:spacing w:line="423" w:lineRule="exact"/>
        <w:sectPr>
          <w:footerReference r:id="rId10" w:type="default"/>
          <w:pgSz w:w="11906" w:h="16839"/>
          <w:pgMar w:top="1431" w:right="1463" w:bottom="1711" w:left="1588" w:header="0" w:footer="1343" w:gutter="0"/>
          <w:cols w:space="720" w:num="1"/>
        </w:sectPr>
      </w:pPr>
    </w:p>
    <w:p w14:paraId="3EBCF357">
      <w:pPr>
        <w:spacing w:line="254" w:lineRule="auto"/>
        <w:rPr>
          <w:rFonts w:ascii="Arial"/>
          <w:sz w:val="21"/>
        </w:rPr>
      </w:pPr>
    </w:p>
    <w:p w14:paraId="15D0BF08">
      <w:pPr>
        <w:spacing w:line="255" w:lineRule="auto"/>
        <w:rPr>
          <w:rFonts w:ascii="Arial"/>
          <w:sz w:val="21"/>
        </w:rPr>
      </w:pPr>
    </w:p>
    <w:p w14:paraId="02A2C37C">
      <w:pPr>
        <w:spacing w:line="255" w:lineRule="auto"/>
        <w:rPr>
          <w:rFonts w:ascii="Arial"/>
          <w:sz w:val="21"/>
        </w:rPr>
      </w:pPr>
    </w:p>
    <w:p w14:paraId="410CFE88">
      <w:pPr>
        <w:pStyle w:val="2"/>
        <w:spacing w:before="100" w:line="422" w:lineRule="exact"/>
        <w:ind w:left="5"/>
      </w:pPr>
      <w:r>
        <w:rPr>
          <w:spacing w:val="8"/>
          <w:position w:val="2"/>
        </w:rPr>
        <w:t>结果作为以后社科基金项目资助的重要依据。</w:t>
      </w:r>
    </w:p>
    <w:p w14:paraId="6095C4F7">
      <w:pPr>
        <w:pStyle w:val="2"/>
        <w:spacing w:before="180" w:line="331" w:lineRule="auto"/>
        <w:ind w:left="1" w:right="125" w:firstLine="643"/>
      </w:pPr>
      <w:r>
        <w:rPr>
          <w:rFonts w:ascii="黑体" w:hAnsi="黑体" w:eastAsia="黑体" w:cs="黑体"/>
          <w:spacing w:val="25"/>
        </w:rPr>
        <w:t xml:space="preserve">第二十四条  </w:t>
      </w:r>
      <w:r>
        <w:rPr>
          <w:spacing w:val="25"/>
        </w:rPr>
        <w:t>建立健全项目资金使用和管理信息公开机</w:t>
      </w:r>
      <w:r>
        <w:rPr>
          <w:spacing w:val="7"/>
        </w:rPr>
        <w:t xml:space="preserve"> </w:t>
      </w:r>
      <w:r>
        <w:rPr>
          <w:spacing w:val="13"/>
        </w:rPr>
        <w:t>制。项目责任单位应当在单位内部公开项目预算、</w:t>
      </w:r>
      <w:r>
        <w:rPr>
          <w:spacing w:val="12"/>
        </w:rPr>
        <w:t>预算调剂、</w:t>
      </w:r>
      <w:r>
        <w:t xml:space="preserve"> </w:t>
      </w:r>
      <w:r>
        <w:rPr>
          <w:spacing w:val="13"/>
        </w:rPr>
        <w:t>决算、项目组人员构成、设备购置、劳务费发放以</w:t>
      </w:r>
      <w:r>
        <w:rPr>
          <w:spacing w:val="12"/>
        </w:rPr>
        <w:t>及间接费用</w:t>
      </w:r>
      <w:r>
        <w:t xml:space="preserve"> </w:t>
      </w:r>
      <w:r>
        <w:rPr>
          <w:spacing w:val="4"/>
        </w:rPr>
        <w:t>和结余资金使用等情况，</w:t>
      </w:r>
      <w:r>
        <w:rPr>
          <w:spacing w:val="-74"/>
        </w:rPr>
        <w:t xml:space="preserve"> </w:t>
      </w:r>
      <w:r>
        <w:rPr>
          <w:spacing w:val="4"/>
        </w:rPr>
        <w:t>自觉接受监督。</w:t>
      </w:r>
    </w:p>
    <w:p w14:paraId="4660F138">
      <w:pPr>
        <w:pStyle w:val="2"/>
        <w:spacing w:before="176" w:line="331" w:lineRule="auto"/>
        <w:ind w:firstLine="644"/>
      </w:pPr>
      <w:r>
        <w:rPr>
          <w:rFonts w:ascii="黑体" w:hAnsi="黑体" w:eastAsia="黑体" w:cs="黑体"/>
          <w:spacing w:val="12"/>
        </w:rPr>
        <w:t xml:space="preserve">第二十五条  </w:t>
      </w:r>
      <w:r>
        <w:rPr>
          <w:spacing w:val="12"/>
        </w:rPr>
        <w:t>项目责任单位、项目负责人等在项目经费申</w:t>
      </w:r>
      <w:r>
        <w:rPr>
          <w:spacing w:val="10"/>
        </w:rPr>
        <w:t xml:space="preserve"> </w:t>
      </w:r>
      <w:r>
        <w:rPr>
          <w:spacing w:val="13"/>
        </w:rPr>
        <w:t>请和使用管理中存在以下行为之一的，省委宣传部、</w:t>
      </w:r>
      <w:r>
        <w:rPr>
          <w:spacing w:val="12"/>
        </w:rPr>
        <w:t>省财政厅</w:t>
      </w:r>
      <w:r>
        <w:t xml:space="preserve"> </w:t>
      </w:r>
      <w:r>
        <w:rPr>
          <w:spacing w:val="6"/>
        </w:rPr>
        <w:t>依照有关规定视情况轻重采取责令整改、约谈、暂</w:t>
      </w:r>
      <w:r>
        <w:rPr>
          <w:spacing w:val="5"/>
        </w:rPr>
        <w:t>停项目拨款、</w:t>
      </w:r>
      <w:r>
        <w:t xml:space="preserve"> </w:t>
      </w:r>
      <w:r>
        <w:rPr>
          <w:spacing w:val="8"/>
        </w:rPr>
        <w:t>终止项目、撤销项目等措施：</w:t>
      </w:r>
    </w:p>
    <w:p w14:paraId="38C8E467">
      <w:pPr>
        <w:pStyle w:val="2"/>
        <w:spacing w:before="175" w:line="421" w:lineRule="exact"/>
        <w:ind w:left="619"/>
      </w:pPr>
      <w:r>
        <w:rPr>
          <w:spacing w:val="3"/>
          <w:position w:val="2"/>
        </w:rPr>
        <w:t>（</w:t>
      </w:r>
      <w:r>
        <w:rPr>
          <w:spacing w:val="-75"/>
          <w:position w:val="2"/>
        </w:rPr>
        <w:t xml:space="preserve"> </w:t>
      </w:r>
      <w:r>
        <w:rPr>
          <w:spacing w:val="3"/>
          <w:position w:val="2"/>
        </w:rPr>
        <w:t>一）虚假编报项目预算；</w:t>
      </w:r>
    </w:p>
    <w:p w14:paraId="167CDE4C">
      <w:pPr>
        <w:pStyle w:val="2"/>
        <w:spacing w:before="178" w:line="423" w:lineRule="exact"/>
        <w:ind w:left="619"/>
      </w:pPr>
      <w:r>
        <w:rPr>
          <w:spacing w:val="5"/>
          <w:position w:val="2"/>
        </w:rPr>
        <w:t>（</w:t>
      </w:r>
      <w:r>
        <w:rPr>
          <w:spacing w:val="-78"/>
          <w:position w:val="2"/>
        </w:rPr>
        <w:t xml:space="preserve"> </w:t>
      </w:r>
      <w:r>
        <w:rPr>
          <w:spacing w:val="5"/>
          <w:position w:val="2"/>
        </w:rPr>
        <w:t>二）未对项目资金进行单独核算；</w:t>
      </w:r>
    </w:p>
    <w:p w14:paraId="184EA2D9">
      <w:pPr>
        <w:pStyle w:val="2"/>
        <w:spacing w:before="177" w:line="425" w:lineRule="exact"/>
        <w:ind w:left="619"/>
      </w:pPr>
      <w:r>
        <w:rPr>
          <w:spacing w:val="5"/>
          <w:position w:val="2"/>
        </w:rPr>
        <w:t>（</w:t>
      </w:r>
      <w:r>
        <w:rPr>
          <w:spacing w:val="-78"/>
          <w:position w:val="2"/>
        </w:rPr>
        <w:t xml:space="preserve"> </w:t>
      </w:r>
      <w:r>
        <w:rPr>
          <w:spacing w:val="5"/>
          <w:position w:val="2"/>
        </w:rPr>
        <w:t>三）列支与项目任务无关的支出；</w:t>
      </w:r>
    </w:p>
    <w:p w14:paraId="11F63F29">
      <w:pPr>
        <w:pStyle w:val="2"/>
        <w:spacing w:before="175" w:line="419" w:lineRule="exact"/>
        <w:jc w:val="right"/>
      </w:pPr>
      <w:r>
        <w:rPr>
          <w:spacing w:val="2"/>
          <w:position w:val="2"/>
        </w:rPr>
        <w:t>（</w:t>
      </w:r>
      <w:r>
        <w:rPr>
          <w:spacing w:val="-59"/>
          <w:position w:val="2"/>
        </w:rPr>
        <w:t xml:space="preserve"> </w:t>
      </w:r>
      <w:r>
        <w:rPr>
          <w:spacing w:val="2"/>
          <w:position w:val="2"/>
        </w:rPr>
        <w:t>四）未按规定执行和调剂预算、违反规定转</w:t>
      </w:r>
      <w:r>
        <w:rPr>
          <w:spacing w:val="1"/>
          <w:position w:val="2"/>
        </w:rPr>
        <w:t>拨项目资金；</w:t>
      </w:r>
    </w:p>
    <w:p w14:paraId="34F5BD5B">
      <w:pPr>
        <w:pStyle w:val="2"/>
        <w:spacing w:before="182" w:line="303" w:lineRule="auto"/>
        <w:ind w:left="6" w:right="125" w:firstLine="612"/>
      </w:pPr>
      <w:r>
        <w:rPr>
          <w:spacing w:val="14"/>
        </w:rPr>
        <w:t>（五）通过虚假合同、虚假票据、虚构事项、虚报人</w:t>
      </w:r>
      <w:r>
        <w:rPr>
          <w:spacing w:val="13"/>
        </w:rPr>
        <w:t>员等</w:t>
      </w:r>
      <w:r>
        <w:t xml:space="preserve"> </w:t>
      </w:r>
      <w:r>
        <w:rPr>
          <w:spacing w:val="8"/>
        </w:rPr>
        <w:t>弄虚作假，转移、套取、报销项目资金；</w:t>
      </w:r>
    </w:p>
    <w:p w14:paraId="35C14C62">
      <w:pPr>
        <w:pStyle w:val="2"/>
        <w:spacing w:before="181" w:line="422" w:lineRule="exact"/>
        <w:ind w:left="619"/>
      </w:pPr>
      <w:r>
        <w:rPr>
          <w:spacing w:val="9"/>
          <w:position w:val="2"/>
        </w:rPr>
        <w:t>（六）截留、挤占、挪用项目资金；</w:t>
      </w:r>
    </w:p>
    <w:p w14:paraId="6EC0CA78">
      <w:pPr>
        <w:pStyle w:val="2"/>
        <w:spacing w:before="179" w:line="304" w:lineRule="auto"/>
        <w:ind w:left="2" w:right="125" w:firstLine="616"/>
      </w:pPr>
      <w:r>
        <w:rPr>
          <w:spacing w:val="14"/>
        </w:rPr>
        <w:t>（七）设置账外账、随意调账变动支出、随意修改记</w:t>
      </w:r>
      <w:r>
        <w:rPr>
          <w:spacing w:val="13"/>
        </w:rPr>
        <w:t>账凭</w:t>
      </w:r>
      <w:r>
        <w:t xml:space="preserve"> </w:t>
      </w:r>
      <w:r>
        <w:rPr>
          <w:spacing w:val="8"/>
        </w:rPr>
        <w:t>证、提供虚假财务会计资料等；</w:t>
      </w:r>
    </w:p>
    <w:p w14:paraId="14DEC0B7">
      <w:pPr>
        <w:pStyle w:val="2"/>
        <w:spacing w:before="180" w:line="304" w:lineRule="auto"/>
        <w:ind w:left="5" w:right="125" w:firstLine="614"/>
      </w:pPr>
      <w:r>
        <w:rPr>
          <w:spacing w:val="14"/>
        </w:rPr>
        <w:t>（八）在使用项目资金中以任何方式列支应由个人负</w:t>
      </w:r>
      <w:r>
        <w:rPr>
          <w:spacing w:val="13"/>
        </w:rPr>
        <w:t>担的</w:t>
      </w:r>
      <w:r>
        <w:t xml:space="preserve"> </w:t>
      </w:r>
      <w:r>
        <w:rPr>
          <w:spacing w:val="9"/>
        </w:rPr>
        <w:t>有关费用和支付各种罚款、捐款、赞助、投资、偿还</w:t>
      </w:r>
      <w:r>
        <w:rPr>
          <w:spacing w:val="8"/>
        </w:rPr>
        <w:t>债务等；</w:t>
      </w:r>
    </w:p>
    <w:p w14:paraId="0DA3D282">
      <w:pPr>
        <w:pStyle w:val="2"/>
        <w:spacing w:before="177" w:line="423" w:lineRule="exact"/>
        <w:ind w:left="619"/>
      </w:pPr>
      <w:r>
        <w:rPr>
          <w:spacing w:val="9"/>
          <w:position w:val="2"/>
        </w:rPr>
        <w:t>（九）其他违反国家财经纪律的行为。</w:t>
      </w:r>
    </w:p>
    <w:p w14:paraId="6C23DEB5">
      <w:pPr>
        <w:spacing w:line="423" w:lineRule="exact"/>
        <w:sectPr>
          <w:footerReference r:id="rId11" w:type="default"/>
          <w:pgSz w:w="11906" w:h="16839"/>
          <w:pgMar w:top="1431" w:right="1463" w:bottom="1711" w:left="1598" w:header="0" w:footer="1343" w:gutter="0"/>
          <w:cols w:space="720" w:num="1"/>
        </w:sectPr>
      </w:pPr>
    </w:p>
    <w:p w14:paraId="550F9B5C">
      <w:pPr>
        <w:spacing w:line="253" w:lineRule="auto"/>
        <w:rPr>
          <w:rFonts w:ascii="Arial"/>
          <w:sz w:val="21"/>
        </w:rPr>
      </w:pPr>
    </w:p>
    <w:p w14:paraId="6F0E2F9A">
      <w:pPr>
        <w:spacing w:line="253" w:lineRule="auto"/>
        <w:rPr>
          <w:rFonts w:ascii="Arial"/>
          <w:sz w:val="21"/>
        </w:rPr>
      </w:pPr>
    </w:p>
    <w:p w14:paraId="6527B802">
      <w:pPr>
        <w:spacing w:line="254" w:lineRule="auto"/>
        <w:rPr>
          <w:rFonts w:ascii="Arial"/>
          <w:sz w:val="21"/>
        </w:rPr>
      </w:pPr>
    </w:p>
    <w:p w14:paraId="62DB31D1">
      <w:pPr>
        <w:pStyle w:val="2"/>
        <w:spacing w:before="100" w:line="355" w:lineRule="auto"/>
        <w:ind w:left="10" w:right="112" w:firstLine="645"/>
        <w:jc w:val="both"/>
      </w:pPr>
      <w:r>
        <w:rPr>
          <w:rFonts w:ascii="黑体" w:hAnsi="黑体" w:eastAsia="黑体" w:cs="黑体"/>
          <w:spacing w:val="12"/>
        </w:rPr>
        <w:t xml:space="preserve">第二十六条  </w:t>
      </w:r>
      <w:r>
        <w:rPr>
          <w:spacing w:val="12"/>
        </w:rPr>
        <w:t>对违规使用专项资金，违反财经纪律，弄虚</w:t>
      </w:r>
      <w:r>
        <w:rPr>
          <w:spacing w:val="10"/>
        </w:rPr>
        <w:t xml:space="preserve"> </w:t>
      </w:r>
      <w:r>
        <w:rPr>
          <w:spacing w:val="11"/>
        </w:rPr>
        <w:t>作假、挪用或挤占专项资金的</w:t>
      </w:r>
      <w:r>
        <w:rPr>
          <w:spacing w:val="-79"/>
        </w:rPr>
        <w:t xml:space="preserve"> </w:t>
      </w:r>
      <w:r>
        <w:rPr>
          <w:spacing w:val="11"/>
        </w:rPr>
        <w:t>，一经查实</w:t>
      </w:r>
      <w:r>
        <w:rPr>
          <w:spacing w:val="-88"/>
        </w:rPr>
        <w:t xml:space="preserve"> </w:t>
      </w:r>
      <w:r>
        <w:rPr>
          <w:spacing w:val="11"/>
        </w:rPr>
        <w:t>，收回专项资金</w:t>
      </w:r>
      <w:r>
        <w:rPr>
          <w:spacing w:val="-90"/>
        </w:rPr>
        <w:t xml:space="preserve"> </w:t>
      </w:r>
      <w:r>
        <w:rPr>
          <w:spacing w:val="11"/>
        </w:rPr>
        <w:t>，</w:t>
      </w:r>
      <w:r>
        <w:rPr>
          <w:rFonts w:ascii="Times New Roman" w:hAnsi="Times New Roman" w:eastAsia="Times New Roman" w:cs="Times New Roman"/>
          <w:spacing w:val="11"/>
        </w:rPr>
        <w:t>3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1"/>
        </w:rPr>
        <w:t>年内取消项目责任单位申报省社科基金项目的资格，并依据《财</w:t>
      </w:r>
      <w:r>
        <w:rPr>
          <w:spacing w:val="10"/>
        </w:rPr>
        <w:t xml:space="preserve"> </w:t>
      </w:r>
      <w:r>
        <w:rPr>
          <w:spacing w:val="13"/>
        </w:rPr>
        <w:t>政违法行为处罚处分条例》和有关法律法规，追究有关</w:t>
      </w:r>
      <w:r>
        <w:rPr>
          <w:spacing w:val="12"/>
        </w:rPr>
        <w:t>单位和</w:t>
      </w:r>
      <w:r>
        <w:t xml:space="preserve"> </w:t>
      </w:r>
      <w:r>
        <w:rPr>
          <w:spacing w:val="6"/>
        </w:rPr>
        <w:t>个人的责任。</w:t>
      </w:r>
    </w:p>
    <w:p w14:paraId="7FF60F70">
      <w:pPr>
        <w:spacing w:line="266" w:lineRule="auto"/>
        <w:rPr>
          <w:rFonts w:ascii="Arial"/>
          <w:sz w:val="21"/>
        </w:rPr>
      </w:pPr>
    </w:p>
    <w:p w14:paraId="54798A35">
      <w:pPr>
        <w:spacing w:line="267" w:lineRule="auto"/>
        <w:rPr>
          <w:rFonts w:ascii="Arial"/>
          <w:sz w:val="21"/>
        </w:rPr>
      </w:pPr>
    </w:p>
    <w:p w14:paraId="261D5D55">
      <w:pPr>
        <w:spacing w:before="101" w:line="211" w:lineRule="auto"/>
        <w:ind w:left="3262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第六章</w:t>
      </w:r>
      <w:r>
        <w:rPr>
          <w:rFonts w:ascii="黑体" w:hAnsi="黑体" w:eastAsia="黑体" w:cs="黑体"/>
          <w:spacing w:val="22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3"/>
          <w:sz w:val="31"/>
          <w:szCs w:val="31"/>
        </w:rPr>
        <w:t>附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3"/>
          <w:sz w:val="31"/>
          <w:szCs w:val="31"/>
        </w:rPr>
        <w:t>则</w:t>
      </w:r>
    </w:p>
    <w:p w14:paraId="29166534">
      <w:pPr>
        <w:spacing w:line="242" w:lineRule="auto"/>
        <w:rPr>
          <w:rFonts w:ascii="Arial"/>
          <w:sz w:val="21"/>
        </w:rPr>
      </w:pPr>
    </w:p>
    <w:p w14:paraId="4F83043C">
      <w:pPr>
        <w:spacing w:line="242" w:lineRule="auto"/>
        <w:rPr>
          <w:rFonts w:ascii="Arial"/>
          <w:sz w:val="21"/>
        </w:rPr>
      </w:pPr>
    </w:p>
    <w:p w14:paraId="3C5CE93B">
      <w:pPr>
        <w:spacing w:line="242" w:lineRule="auto"/>
        <w:rPr>
          <w:rFonts w:ascii="Arial"/>
          <w:sz w:val="21"/>
        </w:rPr>
      </w:pPr>
    </w:p>
    <w:p w14:paraId="22F3CF82">
      <w:pPr>
        <w:pStyle w:val="2"/>
        <w:spacing w:before="101" w:line="425" w:lineRule="exact"/>
        <w:ind w:left="656"/>
      </w:pPr>
      <w:r>
        <w:rPr>
          <w:rFonts w:ascii="黑体" w:hAnsi="黑体" w:eastAsia="黑体" w:cs="黑体"/>
          <w:spacing w:val="8"/>
          <w:position w:val="2"/>
        </w:rPr>
        <w:t xml:space="preserve">第二十七条  </w:t>
      </w:r>
      <w:r>
        <w:rPr>
          <w:spacing w:val="8"/>
          <w:position w:val="2"/>
        </w:rPr>
        <w:t>本办法适用于省社科基金各项目类型。</w:t>
      </w:r>
    </w:p>
    <w:p w14:paraId="5E8729FE">
      <w:pPr>
        <w:pStyle w:val="2"/>
        <w:spacing w:before="175" w:line="305" w:lineRule="auto"/>
        <w:ind w:left="24" w:right="113" w:firstLine="632"/>
      </w:pPr>
      <w:r>
        <w:rPr>
          <w:rFonts w:ascii="黑体" w:hAnsi="黑体" w:eastAsia="黑体" w:cs="黑体"/>
          <w:spacing w:val="12"/>
        </w:rPr>
        <w:t xml:space="preserve">第二十八条  </w:t>
      </w:r>
      <w:r>
        <w:rPr>
          <w:spacing w:val="12"/>
        </w:rPr>
        <w:t>本办法自发布之日起施行，由省财政厅和省</w:t>
      </w:r>
      <w:r>
        <w:rPr>
          <w:spacing w:val="10"/>
        </w:rPr>
        <w:t xml:space="preserve"> </w:t>
      </w:r>
      <w:r>
        <w:rPr>
          <w:spacing w:val="5"/>
        </w:rPr>
        <w:t>委宣传部负责解释。</w:t>
      </w:r>
    </w:p>
    <w:p w14:paraId="5E16EB59">
      <w:pPr>
        <w:spacing w:line="242" w:lineRule="auto"/>
        <w:rPr>
          <w:rFonts w:ascii="Arial"/>
          <w:sz w:val="21"/>
        </w:rPr>
      </w:pPr>
    </w:p>
    <w:p w14:paraId="677BC476">
      <w:pPr>
        <w:spacing w:line="242" w:lineRule="auto"/>
        <w:rPr>
          <w:rFonts w:ascii="Arial"/>
          <w:sz w:val="21"/>
        </w:rPr>
      </w:pPr>
    </w:p>
    <w:p w14:paraId="30F8680F">
      <w:pPr>
        <w:spacing w:line="243" w:lineRule="auto"/>
        <w:rPr>
          <w:rFonts w:ascii="Arial"/>
          <w:sz w:val="21"/>
        </w:rPr>
      </w:pPr>
    </w:p>
    <w:p w14:paraId="098F5881">
      <w:pPr>
        <w:spacing w:line="243" w:lineRule="auto"/>
        <w:rPr>
          <w:rFonts w:ascii="Arial"/>
          <w:sz w:val="21"/>
        </w:rPr>
      </w:pPr>
    </w:p>
    <w:p w14:paraId="05E9972B">
      <w:pPr>
        <w:spacing w:line="243" w:lineRule="auto"/>
        <w:rPr>
          <w:rFonts w:ascii="Arial"/>
          <w:sz w:val="21"/>
        </w:rPr>
      </w:pPr>
    </w:p>
    <w:p w14:paraId="45182BEB">
      <w:pPr>
        <w:spacing w:line="243" w:lineRule="auto"/>
        <w:rPr>
          <w:rFonts w:ascii="Arial"/>
          <w:sz w:val="21"/>
        </w:rPr>
      </w:pPr>
    </w:p>
    <w:p w14:paraId="2ED5A6EE">
      <w:pPr>
        <w:spacing w:line="243" w:lineRule="auto"/>
        <w:rPr>
          <w:rFonts w:ascii="Arial"/>
          <w:sz w:val="21"/>
        </w:rPr>
      </w:pPr>
    </w:p>
    <w:p w14:paraId="688D1ED5">
      <w:pPr>
        <w:spacing w:line="243" w:lineRule="auto"/>
        <w:rPr>
          <w:rFonts w:ascii="Arial"/>
          <w:sz w:val="21"/>
        </w:rPr>
      </w:pPr>
    </w:p>
    <w:p w14:paraId="1751339C">
      <w:pPr>
        <w:spacing w:line="243" w:lineRule="auto"/>
        <w:rPr>
          <w:rFonts w:ascii="Arial"/>
          <w:sz w:val="21"/>
        </w:rPr>
      </w:pPr>
    </w:p>
    <w:p w14:paraId="1128348A">
      <w:pPr>
        <w:spacing w:line="243" w:lineRule="auto"/>
        <w:rPr>
          <w:rFonts w:ascii="Arial"/>
          <w:sz w:val="21"/>
        </w:rPr>
      </w:pPr>
    </w:p>
    <w:p w14:paraId="555A9FC6">
      <w:pPr>
        <w:spacing w:line="243" w:lineRule="auto"/>
        <w:rPr>
          <w:rFonts w:ascii="Arial"/>
          <w:sz w:val="21"/>
        </w:rPr>
      </w:pPr>
    </w:p>
    <w:p w14:paraId="33D2DD38">
      <w:pPr>
        <w:spacing w:line="243" w:lineRule="auto"/>
        <w:rPr>
          <w:rFonts w:ascii="Arial"/>
          <w:sz w:val="21"/>
        </w:rPr>
      </w:pPr>
    </w:p>
    <w:p w14:paraId="2252CBFB">
      <w:pPr>
        <w:spacing w:line="243" w:lineRule="auto"/>
        <w:rPr>
          <w:rFonts w:ascii="Arial"/>
          <w:sz w:val="21"/>
        </w:rPr>
      </w:pPr>
    </w:p>
    <w:p w14:paraId="42972B03">
      <w:pPr>
        <w:spacing w:line="243" w:lineRule="auto"/>
        <w:rPr>
          <w:rFonts w:ascii="Arial"/>
          <w:sz w:val="21"/>
        </w:rPr>
      </w:pPr>
    </w:p>
    <w:p w14:paraId="7BC1DDE3">
      <w:pPr>
        <w:spacing w:line="243" w:lineRule="auto"/>
        <w:rPr>
          <w:rFonts w:ascii="Arial"/>
          <w:sz w:val="21"/>
        </w:rPr>
      </w:pPr>
    </w:p>
    <w:p w14:paraId="199C3925">
      <w:pPr>
        <w:spacing w:line="243" w:lineRule="auto"/>
        <w:rPr>
          <w:rFonts w:ascii="Arial"/>
          <w:sz w:val="21"/>
        </w:rPr>
      </w:pPr>
    </w:p>
    <w:p w14:paraId="72B1E4D4">
      <w:pPr>
        <w:spacing w:line="243" w:lineRule="auto"/>
        <w:rPr>
          <w:rFonts w:ascii="Arial"/>
          <w:sz w:val="21"/>
        </w:rPr>
      </w:pPr>
    </w:p>
    <w:p w14:paraId="57AD6560">
      <w:pPr>
        <w:spacing w:line="243" w:lineRule="auto"/>
        <w:rPr>
          <w:rFonts w:ascii="Arial"/>
          <w:sz w:val="21"/>
        </w:rPr>
      </w:pPr>
    </w:p>
    <w:p w14:paraId="6DC5E36E">
      <w:pPr>
        <w:spacing w:line="243" w:lineRule="auto"/>
        <w:rPr>
          <w:rFonts w:ascii="Arial"/>
          <w:sz w:val="21"/>
        </w:rPr>
      </w:pPr>
    </w:p>
    <w:p w14:paraId="34347171">
      <w:pPr>
        <w:spacing w:line="243" w:lineRule="auto"/>
        <w:rPr>
          <w:rFonts w:ascii="Arial"/>
          <w:sz w:val="21"/>
        </w:rPr>
      </w:pPr>
    </w:p>
    <w:p w14:paraId="62CB8328">
      <w:pPr>
        <w:pStyle w:val="2"/>
        <w:tabs>
          <w:tab w:val="left" w:pos="153"/>
        </w:tabs>
        <w:spacing w:before="144" w:line="276" w:lineRule="auto"/>
        <w:rPr>
          <w:sz w:val="28"/>
          <w:szCs w:val="28"/>
        </w:rPr>
      </w:pPr>
      <w:bookmarkStart w:id="0" w:name="_GoBack"/>
      <w:bookmarkEnd w:id="0"/>
    </w:p>
    <w:sectPr>
      <w:footerReference r:id="rId12" w:type="default"/>
      <w:pgSz w:w="11906" w:h="16839"/>
      <w:pgMar w:top="1431" w:right="1474" w:bottom="1711" w:left="1587" w:header="0" w:footer="134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2850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7933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72EAB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07FEF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5D60C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5C053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9791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FFC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571B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3618</Words>
  <Characters>3640</Characters>
  <TotalTime>1</TotalTime>
  <ScaleCrop>false</ScaleCrop>
  <LinksUpToDate>false</LinksUpToDate>
  <CharactersWithSpaces>3864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2025-07-21T14:02:00Z</dcterms:created>
  <dc:creator>User</dc:creator>
  <cp:lastModifiedBy>mr.mvp</cp:lastModifiedBy>
  <dcterms:modified xsi:type="dcterms:W3CDTF">2025-09-29T02:15:11Z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2025-09-29T10:13:53Z</vt:filetime>
  </property>
  <property fmtid="{D5CDD505-2E9C-101B-9397-08002B2CF9AE}" pid="4" name="KSOTemplateDocerSaveRecord">
    <vt:lpwstr>eyJoZGlkIjoiNGFiNzY3MTMwZmZjOGZiZjBiYzQ0ODI0MDNlMjZmMWYiLCJ1c2VySWQiOiIyOTMxMDE2NzkifQ==</vt:lpwstr>
  </property>
  <property fmtid="{D5CDD505-2E9C-101B-9397-08002B2CF9AE}" pid="5" name="KSOProductBuildVer">
    <vt:lpwstr>2052-12.1.0.22529</vt:lpwstr>
  </property>
  <property fmtid="{D5CDD505-2E9C-101B-9397-08002B2CF9AE}" pid="6" name="ICV">
    <vt:lpwstr>2B4EC1FE0B894420A022EFE33102B328_13</vt:lpwstr>
  </property>
</Properties>
</file>